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6AF3C" w14:textId="77777777" w:rsidR="00BE6818" w:rsidRPr="00201374" w:rsidRDefault="00394896" w:rsidP="008C580C">
      <w:pPr>
        <w:pStyle w:val="Titel"/>
        <w:rPr>
          <w:rFonts w:cs="Arial"/>
        </w:rPr>
      </w:pPr>
      <w:bookmarkStart w:id="0" w:name="_top"/>
      <w:bookmarkEnd w:id="0"/>
      <w:r w:rsidRPr="00201374">
        <w:rPr>
          <w:rFonts w:cs="Arial"/>
          <w:noProof/>
        </w:rPr>
        <w:drawing>
          <wp:anchor distT="0" distB="0" distL="114300" distR="114300" simplePos="0" relativeHeight="251662336" behindDoc="1" locked="0" layoutInCell="1" allowOverlap="1" wp14:anchorId="3267B2C7" wp14:editId="4F425588">
            <wp:simplePos x="0" y="0"/>
            <wp:positionH relativeFrom="page">
              <wp:posOffset>0</wp:posOffset>
            </wp:positionH>
            <wp:positionV relativeFrom="page">
              <wp:posOffset>0</wp:posOffset>
            </wp:positionV>
            <wp:extent cx="7560000" cy="10698353"/>
            <wp:effectExtent l="0" t="0" r="9525" b="0"/>
            <wp:wrapNone/>
            <wp:docPr id="15"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el.pdf"/>
                    <pic:cNvPicPr/>
                  </pic:nvPicPr>
                  <pic:blipFill>
                    <a:blip r:embed="rId8">
                      <a:extLst>
                        <a:ext uri="{28A0092B-C50C-407E-A947-70E740481C1C}">
                          <a14:useLocalDpi xmlns:a14="http://schemas.microsoft.com/office/drawing/2010/main" val="0"/>
                        </a:ext>
                      </a:extLst>
                    </a:blip>
                    <a:stretch>
                      <a:fillRect/>
                    </a:stretch>
                  </pic:blipFill>
                  <pic:spPr>
                    <a:xfrm>
                      <a:off x="0" y="0"/>
                      <a:ext cx="7560000" cy="10698353"/>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p w14:paraId="4DFD86CF" w14:textId="1C3D87D3" w:rsidR="00F00EE8" w:rsidRPr="00201374" w:rsidRDefault="00A21511" w:rsidP="00272C77">
      <w:pPr>
        <w:pStyle w:val="Titel"/>
        <w:rPr>
          <w:rFonts w:cs="Arial"/>
        </w:rPr>
      </w:pPr>
      <w:r w:rsidRPr="00201374">
        <w:rPr>
          <w:rFonts w:cs="Arial"/>
          <w:noProof/>
        </w:rPr>
        <mc:AlternateContent>
          <mc:Choice Requires="wps">
            <w:drawing>
              <wp:anchor distT="0" distB="0" distL="114299" distR="114299" simplePos="0" relativeHeight="251664384" behindDoc="0" locked="0" layoutInCell="1" allowOverlap="1" wp14:anchorId="3ED8290F" wp14:editId="05ABF873">
                <wp:simplePos x="0" y="0"/>
                <wp:positionH relativeFrom="column">
                  <wp:posOffset>464819</wp:posOffset>
                </wp:positionH>
                <wp:positionV relativeFrom="paragraph">
                  <wp:posOffset>319405</wp:posOffset>
                </wp:positionV>
                <wp:extent cx="0" cy="1101725"/>
                <wp:effectExtent l="0" t="0" r="25400" b="15875"/>
                <wp:wrapNone/>
                <wp:docPr id="16" name="Gerade Verbindung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01725"/>
                        </a:xfrm>
                        <a:prstGeom prst="line">
                          <a:avLst/>
                        </a:prstGeom>
                        <a:ln w="12700" cmpd="sng">
                          <a:solidFill>
                            <a:schemeClr val="accent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993E16" id="Gerade Verbindung 16"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6.6pt,25.15pt" to="36.6pt,1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" strokecolor="#df6421 [3205]" strokeweight="1pt">
                <o:lock v:ext="edit" shapetype="f"/>
              </v:line>
            </w:pict>
          </mc:Fallback>
        </mc:AlternateContent>
      </w:r>
      <w:r w:rsidR="00F00EE8" w:rsidRPr="00201374">
        <w:rPr>
          <w:rFonts w:cs="Arial"/>
        </w:rPr>
        <w:tab/>
      </w:r>
      <w:r w:rsidR="00EB6014" w:rsidRPr="00EB6014">
        <w:rPr>
          <w:rFonts w:cs="Arial"/>
        </w:rPr>
        <w:t>Zweite EU-Zahlungsdienste</w:t>
      </w:r>
      <w:r w:rsidR="002A5A3F">
        <w:rPr>
          <w:rFonts w:cs="Arial"/>
        </w:rPr>
        <w:t>-</w:t>
      </w:r>
      <w:r w:rsidR="002A5A3F">
        <w:rPr>
          <w:rFonts w:cs="Arial"/>
        </w:rPr>
        <w:br/>
      </w:r>
      <w:r w:rsidR="00EB6014" w:rsidRPr="00EB6014">
        <w:rPr>
          <w:rFonts w:cs="Arial"/>
        </w:rPr>
        <w:t>richtlinie</w:t>
      </w:r>
      <w:r w:rsidR="002A5A3F">
        <w:rPr>
          <w:rFonts w:cs="Arial"/>
        </w:rPr>
        <w:t xml:space="preserve"> (PSD2)</w:t>
      </w:r>
      <w:r w:rsidR="00EB6014" w:rsidRPr="00EB6014">
        <w:rPr>
          <w:rFonts w:cs="Arial"/>
        </w:rPr>
        <w:t xml:space="preserve"> </w:t>
      </w:r>
    </w:p>
    <w:p w14:paraId="12299043" w14:textId="05CED19C" w:rsidR="00F00EE8" w:rsidRPr="00201374" w:rsidRDefault="00EB6014" w:rsidP="006A3F5E">
      <w:pPr>
        <w:pStyle w:val="Untertitel"/>
        <w:rPr>
          <w:rFonts w:cs="Arial"/>
        </w:rPr>
      </w:pPr>
      <w:r w:rsidRPr="00EB6014">
        <w:rPr>
          <w:rFonts w:cs="Arial"/>
        </w:rPr>
        <w:t xml:space="preserve">Prüfungsleitfaden </w:t>
      </w:r>
      <w:r>
        <w:rPr>
          <w:rFonts w:cs="Arial"/>
        </w:rPr>
        <w:t>für die Interne Revision</w:t>
      </w:r>
      <w:r w:rsidR="00F00EE8" w:rsidRPr="00201374">
        <w:rPr>
          <w:rFonts w:cs="Arial"/>
        </w:rPr>
        <w:br/>
      </w:r>
    </w:p>
    <w:p w14:paraId="5F9024BE" w14:textId="7AD89BC6" w:rsidR="00F00EE8" w:rsidRPr="00201374" w:rsidRDefault="00EB6014" w:rsidP="008C580C">
      <w:pPr>
        <w:pStyle w:val="AutorAutoren"/>
        <w:rPr>
          <w:rFonts w:cs="Arial"/>
        </w:rPr>
      </w:pPr>
      <w:r>
        <w:rPr>
          <w:rFonts w:cs="Arial"/>
        </w:rPr>
        <w:t>DIIR-</w:t>
      </w:r>
      <w:r w:rsidR="00F00EE8" w:rsidRPr="00201374">
        <w:rPr>
          <w:rFonts w:cs="Arial"/>
        </w:rPr>
        <w:tab/>
      </w:r>
      <w:r w:rsidR="006A3F5E" w:rsidRPr="00201374">
        <w:rPr>
          <w:rFonts w:cs="Arial"/>
        </w:rPr>
        <w:t>A</w:t>
      </w:r>
      <w:r w:rsidR="005744E4" w:rsidRPr="00201374">
        <w:rPr>
          <w:rFonts w:cs="Arial"/>
        </w:rPr>
        <w:t>rbeitskreis „Revision des Zahlungsverkehrs bei Kreditinstituten und Zahlungsverkehrsdienstleistern“</w:t>
      </w:r>
    </w:p>
    <w:p w14:paraId="37DE7506" w14:textId="77777777" w:rsidR="00B9075C" w:rsidRPr="00201374" w:rsidRDefault="00E53876" w:rsidP="008C580C">
      <w:pPr>
        <w:rPr>
          <w:rFonts w:cs="Arial"/>
        </w:rPr>
      </w:pPr>
      <w:r w:rsidRPr="00201374">
        <w:rPr>
          <w:rFonts w:cs="Arial"/>
        </w:rPr>
        <w:br w:type="page"/>
      </w:r>
    </w:p>
    <w:p w14:paraId="6C3C4583" w14:textId="77777777" w:rsidR="00B9075C" w:rsidRPr="00201374" w:rsidRDefault="00B9075C" w:rsidP="0045786C">
      <w:pPr>
        <w:pStyle w:val="berschrift1"/>
        <w:numPr>
          <w:ilvl w:val="0"/>
          <w:numId w:val="0"/>
        </w:numPr>
        <w:rPr>
          <w:rFonts w:cs="Arial"/>
        </w:rPr>
      </w:pPr>
      <w:bookmarkStart w:id="1" w:name="_Toc240029078"/>
      <w:bookmarkStart w:id="2" w:name="_Toc240029289"/>
      <w:bookmarkStart w:id="3" w:name="_Toc240360280"/>
      <w:r w:rsidRPr="00201374">
        <w:rPr>
          <w:rFonts w:cs="Arial"/>
        </w:rPr>
        <w:lastRenderedPageBreak/>
        <w:t>Vorwort</w:t>
      </w:r>
      <w:bookmarkEnd w:id="1"/>
      <w:bookmarkEnd w:id="2"/>
      <w:bookmarkEnd w:id="3"/>
    </w:p>
    <w:p w14:paraId="44B4DC34" w14:textId="3D1BF734" w:rsidR="005744E4" w:rsidRPr="00263ED5" w:rsidRDefault="005744E4" w:rsidP="008B1C27">
      <w:r w:rsidRPr="00201374">
        <w:t xml:space="preserve">Dieser Prüfungsleitfaden dient der Unterstützung der </w:t>
      </w:r>
      <w:r w:rsidR="00EB6014">
        <w:t>Internen</w:t>
      </w:r>
      <w:r w:rsidRPr="00201374">
        <w:t xml:space="preserve"> Revision bei Prüfungen im Zahlungsverkehrsumfeld und basiert auf den Anforderungen </w:t>
      </w:r>
      <w:r w:rsidRPr="00263ED5">
        <w:t>der</w:t>
      </w:r>
      <w:r w:rsidR="005D70ED" w:rsidRPr="00263ED5">
        <w:t xml:space="preserve"> Delegierten Vero</w:t>
      </w:r>
      <w:r w:rsidR="00263ED5">
        <w:t>r</w:t>
      </w:r>
      <w:r w:rsidR="005D70ED" w:rsidRPr="00263ED5">
        <w:t>dnung (EU) 2018/389 der Kommission vom 27. November 2017 – zur Ergänzung der Richtlinie (EU) 2015/2366 (PSD2)</w:t>
      </w:r>
      <w:r w:rsidR="00A34D14">
        <w:t>.</w:t>
      </w:r>
      <w:r w:rsidR="005D70ED" w:rsidRPr="00263ED5">
        <w:rPr>
          <w:vertAlign w:val="superscript"/>
        </w:rPr>
        <w:footnoteReference w:id="1"/>
      </w:r>
      <w:r w:rsidR="00263ED5" w:rsidRPr="00263ED5">
        <w:t xml:space="preserve"> </w:t>
      </w:r>
      <w:r w:rsidRPr="00201374">
        <w:t>Als weitere Unterstützung werden die Ausführungen des Bundesverbands deutscher Banken sowie die Q&amp;A der EBA empfohlen.</w:t>
      </w:r>
      <w:r w:rsidRPr="00263ED5">
        <w:t xml:space="preserve"> </w:t>
      </w:r>
    </w:p>
    <w:p w14:paraId="1E2DEA74" w14:textId="210A2B53" w:rsidR="005744E4" w:rsidRPr="00201374" w:rsidRDefault="005744E4" w:rsidP="008B1C27">
      <w:r w:rsidRPr="00201374">
        <w:t xml:space="preserve">Es werden ausschließlich diejenigen Artikel berücksichtigt, aus denen sich konkrete Prüfungshandlungen/Prüfungsansätze für die </w:t>
      </w:r>
      <w:r w:rsidR="00A34D14">
        <w:t>I</w:t>
      </w:r>
      <w:r w:rsidRPr="00201374">
        <w:t>nterne Revision ableiten lassen.</w:t>
      </w:r>
    </w:p>
    <w:p w14:paraId="1C0442CB" w14:textId="77777777" w:rsidR="005744E4" w:rsidRPr="00201374" w:rsidRDefault="005744E4" w:rsidP="008B1C27">
      <w:r w:rsidRPr="00201374">
        <w:t xml:space="preserve">Die im Leitfaden aufgeführten Beispiele und Aufzählungen sind als Orientierungshilfen zu verstehen und sind nicht abschließend. Sie sollen die wesentlichen Prüfbereiche und Mindestanforderungen verdeutlichen, können jedoch je nach institutsspezifischer Ausgestaltung und Risikosituation erweitert oder angepasst werden. </w:t>
      </w:r>
    </w:p>
    <w:p w14:paraId="462B862F" w14:textId="272B5E50" w:rsidR="005744E4" w:rsidRPr="00201374" w:rsidRDefault="005744E4" w:rsidP="008B1C27">
      <w:r w:rsidRPr="00201374">
        <w:t>Der Begriff Electronic</w:t>
      </w:r>
      <w:r w:rsidR="00A34D14">
        <w:t xml:space="preserve"> </w:t>
      </w:r>
      <w:r w:rsidRPr="00201374">
        <w:t>Banking umfasst im Kontext dieses Leitfadens sowohl die elektronische Bereitstellung und Nutzung von Zahlungsdiensten im Sinne der PSD2 durch das Institut (z. B. Kontozugriffe, Abfrage von Zahlungsverkehrsdaten sowie die Auslösung von Zahlungsvorgängen über digitale Kanäle) als auch die hierfür erforderlichen technischen Zugangs-, Authentifizierungs- und Kommunikationsprozesse über bspw. den Webbrowser oder mobile Anwendungen (Apps) auf dem Smartphone oder Tablet.</w:t>
      </w:r>
    </w:p>
    <w:p w14:paraId="19FCE571" w14:textId="49EB7C20" w:rsidR="005744E4" w:rsidRDefault="005744E4" w:rsidP="008B1C27">
      <w:r w:rsidRPr="00201374">
        <w:t>Die gesetzlichen Vorgaben der RTS sind</w:t>
      </w:r>
      <w:r w:rsidR="00A34D14">
        <w:t xml:space="preserve"> – anders </w:t>
      </w:r>
      <w:r w:rsidRPr="00201374">
        <w:t xml:space="preserve">als die PSD2 </w:t>
      </w:r>
      <w:r w:rsidR="00A34D14">
        <w:t xml:space="preserve">– nicht </w:t>
      </w:r>
      <w:r w:rsidRPr="00201374">
        <w:t>in nationales Recht (z. B. ZAG und BGB) überführt worden, s. ZAG § 55 (5) Starke Kundenauthentifizierung. (Näheres zu Erfordernissen und Verfahren zur starken Kundenauthentifizierung einschließlich etwaiger Ausnahmen von deren Anwendung sowie Anforderungen an Sicherheitsvorkehrungen für die Vertraulichkeit und die Integrität der personalisierten Sicherheitsmerkmale regelt der delegierte Rechtsakt nach Artikel 98 der Richtlinie (EU) 2015/2366.)</w:t>
      </w:r>
    </w:p>
    <w:p w14:paraId="15BEF500" w14:textId="0A9112A6" w:rsidR="00263ED5" w:rsidRDefault="00263ED5" w:rsidP="005744E4">
      <w:pPr>
        <w:jc w:val="both"/>
        <w:rPr>
          <w:rFonts w:cs="Arial"/>
        </w:rPr>
      </w:pPr>
      <w:r>
        <w:rPr>
          <w:rFonts w:cs="Arial"/>
        </w:rPr>
        <w:br w:type="page"/>
      </w:r>
    </w:p>
    <w:p w14:paraId="7A85335B" w14:textId="77777777" w:rsidR="00263ED5" w:rsidRPr="00201374" w:rsidRDefault="00263ED5" w:rsidP="005744E4">
      <w:pPr>
        <w:jc w:val="both"/>
        <w:rPr>
          <w:rFonts w:cs="Arial"/>
        </w:rPr>
      </w:pPr>
    </w:p>
    <w:sdt>
      <w:sdtPr>
        <w:rPr>
          <w:rFonts w:ascii="Arial" w:eastAsiaTheme="minorEastAsia" w:hAnsi="Arial" w:cstheme="minorBidi"/>
          <w:color w:val="636463"/>
          <w:sz w:val="19"/>
          <w:szCs w:val="19"/>
        </w:rPr>
        <w:id w:val="1173766480"/>
        <w:docPartObj>
          <w:docPartGallery w:val="Table of Contents"/>
          <w:docPartUnique/>
        </w:docPartObj>
      </w:sdtPr>
      <w:sdtEndPr>
        <w:rPr>
          <w:b/>
          <w:bCs/>
        </w:rPr>
      </w:sdtEndPr>
      <w:sdtContent>
        <w:p w14:paraId="331E9888" w14:textId="0C548EEA" w:rsidR="00263ED5" w:rsidRDefault="00263ED5">
          <w:pPr>
            <w:pStyle w:val="Inhaltsverzeichnisberschrift"/>
          </w:pPr>
          <w:r>
            <w:t>Inhaltsverzeichnis</w:t>
          </w:r>
        </w:p>
        <w:p w14:paraId="523CC2C4" w14:textId="74D4E9A8" w:rsidR="002A5A3F" w:rsidRDefault="00263ED5">
          <w:pPr>
            <w:pStyle w:val="Verzeichnis1"/>
            <w:rPr>
              <w:rFonts w:asciiTheme="minorHAnsi" w:hAnsiTheme="minorHAnsi"/>
              <w:noProof/>
              <w:color w:val="auto"/>
              <w:kern w:val="2"/>
              <w:sz w:val="24"/>
              <w:szCs w:val="24"/>
              <w14:ligatures w14:val="standardContextual"/>
            </w:rPr>
          </w:pPr>
          <w:r>
            <w:fldChar w:fldCharType="begin"/>
          </w:r>
          <w:r>
            <w:instrText xml:space="preserve"> TOC \o "1-3" \h \z \u </w:instrText>
          </w:r>
          <w:r>
            <w:fldChar w:fldCharType="separate"/>
          </w:r>
        </w:p>
        <w:p w14:paraId="0008AD21" w14:textId="4E791BDD" w:rsidR="002A5A3F" w:rsidRPr="002A5A3F" w:rsidRDefault="002A5A3F" w:rsidP="002A5A3F">
          <w:pPr>
            <w:pStyle w:val="Verzeichnis1"/>
            <w:tabs>
              <w:tab w:val="clear" w:pos="7655"/>
              <w:tab w:val="right" w:leader="dot" w:pos="9065"/>
            </w:tabs>
            <w:rPr>
              <w:rFonts w:asciiTheme="minorHAnsi" w:hAnsiTheme="minorHAnsi"/>
              <w:noProof/>
              <w:color w:val="auto"/>
              <w:kern w:val="2"/>
              <w:sz w:val="18"/>
              <w:szCs w:val="18"/>
              <w14:ligatures w14:val="standardContextual"/>
            </w:rPr>
          </w:pPr>
          <w:hyperlink w:anchor="_Toc240360281" w:history="1">
            <w:r w:rsidRPr="002A5A3F">
              <w:rPr>
                <w:rStyle w:val="Hyperlink"/>
                <w:noProof/>
                <w:sz w:val="18"/>
                <w:szCs w:val="18"/>
              </w:rPr>
              <w:t>1</w:t>
            </w:r>
            <w:r w:rsidRPr="002A5A3F">
              <w:rPr>
                <w:rFonts w:asciiTheme="minorHAnsi" w:hAnsiTheme="minorHAnsi"/>
                <w:noProof/>
                <w:color w:val="auto"/>
                <w:kern w:val="2"/>
                <w:sz w:val="18"/>
                <w:szCs w:val="18"/>
                <w14:ligatures w14:val="standardContextual"/>
              </w:rPr>
              <w:tab/>
            </w:r>
            <w:r w:rsidRPr="002A5A3F">
              <w:rPr>
                <w:rStyle w:val="Hyperlink"/>
                <w:noProof/>
                <w:sz w:val="18"/>
                <w:szCs w:val="18"/>
              </w:rPr>
              <w:t>Allgemeine Bestimmungen</w:t>
            </w:r>
            <w:r w:rsidRPr="002A5A3F">
              <w:rPr>
                <w:noProof/>
                <w:webHidden/>
                <w:sz w:val="18"/>
                <w:szCs w:val="18"/>
              </w:rPr>
              <w:tab/>
            </w:r>
            <w:r w:rsidRPr="002A5A3F">
              <w:rPr>
                <w:noProof/>
                <w:webHidden/>
                <w:sz w:val="18"/>
                <w:szCs w:val="18"/>
              </w:rPr>
              <w:fldChar w:fldCharType="begin"/>
            </w:r>
            <w:r w:rsidRPr="002A5A3F">
              <w:rPr>
                <w:noProof/>
                <w:webHidden/>
                <w:sz w:val="18"/>
                <w:szCs w:val="18"/>
              </w:rPr>
              <w:instrText xml:space="preserve"> PAGEREF _Toc240360281 \h </w:instrText>
            </w:r>
            <w:r w:rsidRPr="002A5A3F">
              <w:rPr>
                <w:noProof/>
                <w:webHidden/>
                <w:sz w:val="18"/>
                <w:szCs w:val="18"/>
              </w:rPr>
            </w:r>
            <w:r w:rsidRPr="002A5A3F">
              <w:rPr>
                <w:noProof/>
                <w:webHidden/>
                <w:sz w:val="18"/>
                <w:szCs w:val="18"/>
              </w:rPr>
              <w:fldChar w:fldCharType="separate"/>
            </w:r>
            <w:r w:rsidR="00F00E09">
              <w:rPr>
                <w:noProof/>
                <w:webHidden/>
                <w:sz w:val="18"/>
                <w:szCs w:val="18"/>
              </w:rPr>
              <w:t>1</w:t>
            </w:r>
            <w:r w:rsidRPr="002A5A3F">
              <w:rPr>
                <w:noProof/>
                <w:webHidden/>
                <w:sz w:val="18"/>
                <w:szCs w:val="18"/>
              </w:rPr>
              <w:fldChar w:fldCharType="end"/>
            </w:r>
          </w:hyperlink>
        </w:p>
        <w:p w14:paraId="67E668E2" w14:textId="4CC22C27" w:rsidR="002A5A3F" w:rsidRPr="002A5A3F" w:rsidRDefault="002A5A3F" w:rsidP="002A5A3F">
          <w:pPr>
            <w:pStyle w:val="Verzeichnis1"/>
            <w:tabs>
              <w:tab w:val="clear" w:pos="7655"/>
              <w:tab w:val="right" w:leader="dot" w:pos="9065"/>
            </w:tabs>
            <w:rPr>
              <w:rFonts w:asciiTheme="minorHAnsi" w:hAnsiTheme="minorHAnsi"/>
              <w:noProof/>
              <w:color w:val="auto"/>
              <w:kern w:val="2"/>
              <w:sz w:val="18"/>
              <w:szCs w:val="18"/>
              <w14:ligatures w14:val="standardContextual"/>
            </w:rPr>
          </w:pPr>
          <w:hyperlink w:anchor="_Toc240360282" w:history="1">
            <w:r w:rsidRPr="002A5A3F">
              <w:rPr>
                <w:rStyle w:val="Hyperlink"/>
                <w:noProof/>
                <w:sz w:val="18"/>
                <w:szCs w:val="18"/>
              </w:rPr>
              <w:t>2</w:t>
            </w:r>
            <w:r w:rsidRPr="002A5A3F">
              <w:rPr>
                <w:rFonts w:asciiTheme="minorHAnsi" w:hAnsiTheme="minorHAnsi"/>
                <w:noProof/>
                <w:color w:val="auto"/>
                <w:kern w:val="2"/>
                <w:sz w:val="18"/>
                <w:szCs w:val="18"/>
                <w14:ligatures w14:val="standardContextual"/>
              </w:rPr>
              <w:tab/>
            </w:r>
            <w:r w:rsidRPr="002A5A3F">
              <w:rPr>
                <w:rStyle w:val="Hyperlink"/>
                <w:noProof/>
                <w:sz w:val="18"/>
                <w:szCs w:val="18"/>
              </w:rPr>
              <w:t>Sicherheitsmaßnahmen für die Durchführung einer starken Kundenauthentifizierung</w:t>
            </w:r>
            <w:r w:rsidRPr="002A5A3F">
              <w:rPr>
                <w:noProof/>
                <w:webHidden/>
                <w:sz w:val="18"/>
                <w:szCs w:val="18"/>
              </w:rPr>
              <w:tab/>
            </w:r>
            <w:r w:rsidRPr="002A5A3F">
              <w:rPr>
                <w:noProof/>
                <w:webHidden/>
                <w:sz w:val="18"/>
                <w:szCs w:val="18"/>
              </w:rPr>
              <w:fldChar w:fldCharType="begin"/>
            </w:r>
            <w:r w:rsidRPr="002A5A3F">
              <w:rPr>
                <w:noProof/>
                <w:webHidden/>
                <w:sz w:val="18"/>
                <w:szCs w:val="18"/>
              </w:rPr>
              <w:instrText xml:space="preserve"> PAGEREF _Toc240360282 \h </w:instrText>
            </w:r>
            <w:r w:rsidRPr="002A5A3F">
              <w:rPr>
                <w:noProof/>
                <w:webHidden/>
                <w:sz w:val="18"/>
                <w:szCs w:val="18"/>
              </w:rPr>
            </w:r>
            <w:r w:rsidRPr="002A5A3F">
              <w:rPr>
                <w:noProof/>
                <w:webHidden/>
                <w:sz w:val="18"/>
                <w:szCs w:val="18"/>
              </w:rPr>
              <w:fldChar w:fldCharType="separate"/>
            </w:r>
            <w:r w:rsidR="00F00E09">
              <w:rPr>
                <w:noProof/>
                <w:webHidden/>
                <w:sz w:val="18"/>
                <w:szCs w:val="18"/>
              </w:rPr>
              <w:t>8</w:t>
            </w:r>
            <w:r w:rsidRPr="002A5A3F">
              <w:rPr>
                <w:noProof/>
                <w:webHidden/>
                <w:sz w:val="18"/>
                <w:szCs w:val="18"/>
              </w:rPr>
              <w:fldChar w:fldCharType="end"/>
            </w:r>
          </w:hyperlink>
        </w:p>
        <w:p w14:paraId="0D529227" w14:textId="29963B83" w:rsidR="002A5A3F" w:rsidRPr="002A5A3F" w:rsidRDefault="002A5A3F" w:rsidP="002A5A3F">
          <w:pPr>
            <w:pStyle w:val="Verzeichnis1"/>
            <w:tabs>
              <w:tab w:val="clear" w:pos="7655"/>
              <w:tab w:val="right" w:leader="dot" w:pos="9065"/>
            </w:tabs>
            <w:rPr>
              <w:rFonts w:asciiTheme="minorHAnsi" w:hAnsiTheme="minorHAnsi"/>
              <w:noProof/>
              <w:color w:val="auto"/>
              <w:kern w:val="2"/>
              <w:sz w:val="18"/>
              <w:szCs w:val="18"/>
              <w14:ligatures w14:val="standardContextual"/>
            </w:rPr>
          </w:pPr>
          <w:hyperlink w:anchor="_Toc240360283" w:history="1">
            <w:r w:rsidRPr="002A5A3F">
              <w:rPr>
                <w:rStyle w:val="Hyperlink"/>
                <w:rFonts w:cs="Arial"/>
                <w:noProof/>
                <w:sz w:val="18"/>
                <w:szCs w:val="18"/>
              </w:rPr>
              <w:t>3</w:t>
            </w:r>
            <w:r w:rsidRPr="002A5A3F">
              <w:rPr>
                <w:rFonts w:asciiTheme="minorHAnsi" w:hAnsiTheme="minorHAnsi"/>
                <w:noProof/>
                <w:color w:val="auto"/>
                <w:kern w:val="2"/>
                <w:sz w:val="18"/>
                <w:szCs w:val="18"/>
                <w14:ligatures w14:val="standardContextual"/>
              </w:rPr>
              <w:tab/>
            </w:r>
            <w:r w:rsidRPr="002A5A3F">
              <w:rPr>
                <w:rStyle w:val="Hyperlink"/>
                <w:rFonts w:cs="Arial"/>
                <w:noProof/>
                <w:sz w:val="18"/>
                <w:szCs w:val="18"/>
              </w:rPr>
              <w:t>Ausnahmen von der starken Kundenauthentifizierung</w:t>
            </w:r>
            <w:r w:rsidRPr="002A5A3F">
              <w:rPr>
                <w:noProof/>
                <w:webHidden/>
                <w:sz w:val="18"/>
                <w:szCs w:val="18"/>
              </w:rPr>
              <w:tab/>
            </w:r>
            <w:r w:rsidRPr="002A5A3F">
              <w:rPr>
                <w:noProof/>
                <w:webHidden/>
                <w:sz w:val="18"/>
                <w:szCs w:val="18"/>
              </w:rPr>
              <w:fldChar w:fldCharType="begin"/>
            </w:r>
            <w:r w:rsidRPr="002A5A3F">
              <w:rPr>
                <w:noProof/>
                <w:webHidden/>
                <w:sz w:val="18"/>
                <w:szCs w:val="18"/>
              </w:rPr>
              <w:instrText xml:space="preserve"> PAGEREF _Toc240360283 \h </w:instrText>
            </w:r>
            <w:r w:rsidRPr="002A5A3F">
              <w:rPr>
                <w:noProof/>
                <w:webHidden/>
                <w:sz w:val="18"/>
                <w:szCs w:val="18"/>
              </w:rPr>
            </w:r>
            <w:r w:rsidRPr="002A5A3F">
              <w:rPr>
                <w:noProof/>
                <w:webHidden/>
                <w:sz w:val="18"/>
                <w:szCs w:val="18"/>
              </w:rPr>
              <w:fldChar w:fldCharType="separate"/>
            </w:r>
            <w:r w:rsidR="00F00E09">
              <w:rPr>
                <w:noProof/>
                <w:webHidden/>
                <w:sz w:val="18"/>
                <w:szCs w:val="18"/>
              </w:rPr>
              <w:t>21</w:t>
            </w:r>
            <w:r w:rsidRPr="002A5A3F">
              <w:rPr>
                <w:noProof/>
                <w:webHidden/>
                <w:sz w:val="18"/>
                <w:szCs w:val="18"/>
              </w:rPr>
              <w:fldChar w:fldCharType="end"/>
            </w:r>
          </w:hyperlink>
        </w:p>
        <w:p w14:paraId="33BDA06F" w14:textId="5D16F67C" w:rsidR="002A5A3F" w:rsidRPr="002A5A3F" w:rsidRDefault="002A5A3F" w:rsidP="002A5A3F">
          <w:pPr>
            <w:pStyle w:val="Verzeichnis1"/>
            <w:tabs>
              <w:tab w:val="clear" w:pos="7655"/>
              <w:tab w:val="right" w:leader="dot" w:pos="9065"/>
            </w:tabs>
            <w:rPr>
              <w:rFonts w:asciiTheme="minorHAnsi" w:hAnsiTheme="minorHAnsi"/>
              <w:noProof/>
              <w:color w:val="auto"/>
              <w:kern w:val="2"/>
              <w:sz w:val="18"/>
              <w:szCs w:val="18"/>
              <w14:ligatures w14:val="standardContextual"/>
            </w:rPr>
          </w:pPr>
          <w:hyperlink w:anchor="_Toc240360284" w:history="1">
            <w:r w:rsidRPr="002A5A3F">
              <w:rPr>
                <w:rStyle w:val="Hyperlink"/>
                <w:noProof/>
                <w:sz w:val="18"/>
                <w:szCs w:val="18"/>
              </w:rPr>
              <w:t>4</w:t>
            </w:r>
            <w:r w:rsidRPr="002A5A3F">
              <w:rPr>
                <w:rFonts w:asciiTheme="minorHAnsi" w:hAnsiTheme="minorHAnsi"/>
                <w:noProof/>
                <w:color w:val="auto"/>
                <w:kern w:val="2"/>
                <w:sz w:val="18"/>
                <w:szCs w:val="18"/>
                <w14:ligatures w14:val="standardContextual"/>
              </w:rPr>
              <w:tab/>
            </w:r>
            <w:r w:rsidRPr="002A5A3F">
              <w:rPr>
                <w:rStyle w:val="Hyperlink"/>
                <w:noProof/>
                <w:sz w:val="18"/>
                <w:szCs w:val="18"/>
              </w:rPr>
              <w:t>Vertraulichkeit und Integrität der personalisierten Sicherheitsmerkmale der Zahlungsdienstnutzer</w:t>
            </w:r>
            <w:r w:rsidRPr="002A5A3F">
              <w:rPr>
                <w:noProof/>
                <w:webHidden/>
                <w:sz w:val="18"/>
                <w:szCs w:val="18"/>
              </w:rPr>
              <w:tab/>
            </w:r>
            <w:r w:rsidRPr="002A5A3F">
              <w:rPr>
                <w:noProof/>
                <w:webHidden/>
                <w:sz w:val="18"/>
                <w:szCs w:val="18"/>
              </w:rPr>
              <w:fldChar w:fldCharType="begin"/>
            </w:r>
            <w:r w:rsidRPr="002A5A3F">
              <w:rPr>
                <w:noProof/>
                <w:webHidden/>
                <w:sz w:val="18"/>
                <w:szCs w:val="18"/>
              </w:rPr>
              <w:instrText xml:space="preserve"> PAGEREF _Toc240360284 \h </w:instrText>
            </w:r>
            <w:r w:rsidRPr="002A5A3F">
              <w:rPr>
                <w:noProof/>
                <w:webHidden/>
                <w:sz w:val="18"/>
                <w:szCs w:val="18"/>
              </w:rPr>
            </w:r>
            <w:r w:rsidRPr="002A5A3F">
              <w:rPr>
                <w:noProof/>
                <w:webHidden/>
                <w:sz w:val="18"/>
                <w:szCs w:val="18"/>
              </w:rPr>
              <w:fldChar w:fldCharType="separate"/>
            </w:r>
            <w:r w:rsidR="00F00E09">
              <w:rPr>
                <w:noProof/>
                <w:webHidden/>
                <w:sz w:val="18"/>
                <w:szCs w:val="18"/>
              </w:rPr>
              <w:t>38</w:t>
            </w:r>
            <w:r w:rsidRPr="002A5A3F">
              <w:rPr>
                <w:noProof/>
                <w:webHidden/>
                <w:sz w:val="18"/>
                <w:szCs w:val="18"/>
              </w:rPr>
              <w:fldChar w:fldCharType="end"/>
            </w:r>
          </w:hyperlink>
        </w:p>
        <w:p w14:paraId="0CC099FE" w14:textId="387E2501" w:rsidR="002A5A3F" w:rsidRPr="002A5A3F" w:rsidRDefault="002A5A3F" w:rsidP="002A5A3F">
          <w:pPr>
            <w:pStyle w:val="Verzeichnis1"/>
            <w:tabs>
              <w:tab w:val="clear" w:pos="7655"/>
              <w:tab w:val="right" w:leader="dot" w:pos="9065"/>
            </w:tabs>
            <w:rPr>
              <w:rFonts w:asciiTheme="minorHAnsi" w:hAnsiTheme="minorHAnsi"/>
              <w:noProof/>
              <w:color w:val="auto"/>
              <w:kern w:val="2"/>
              <w:sz w:val="18"/>
              <w:szCs w:val="18"/>
              <w14:ligatures w14:val="standardContextual"/>
            </w:rPr>
          </w:pPr>
          <w:hyperlink w:anchor="_Toc240360285" w:history="1">
            <w:r w:rsidRPr="002A5A3F">
              <w:rPr>
                <w:rStyle w:val="Hyperlink"/>
                <w:noProof/>
                <w:sz w:val="18"/>
                <w:szCs w:val="18"/>
              </w:rPr>
              <w:t>5</w:t>
            </w:r>
            <w:r w:rsidRPr="002A5A3F">
              <w:rPr>
                <w:rFonts w:asciiTheme="minorHAnsi" w:hAnsiTheme="minorHAnsi"/>
                <w:noProof/>
                <w:color w:val="auto"/>
                <w:kern w:val="2"/>
                <w:sz w:val="18"/>
                <w:szCs w:val="18"/>
                <w14:ligatures w14:val="standardContextual"/>
              </w:rPr>
              <w:tab/>
            </w:r>
            <w:r w:rsidRPr="002A5A3F">
              <w:rPr>
                <w:rStyle w:val="Hyperlink"/>
                <w:noProof/>
                <w:sz w:val="18"/>
                <w:szCs w:val="18"/>
              </w:rPr>
              <w:t>Gemeinsame und sichere offene Kommunikationsstandards</w:t>
            </w:r>
            <w:r w:rsidRPr="002A5A3F">
              <w:rPr>
                <w:noProof/>
                <w:webHidden/>
                <w:sz w:val="18"/>
                <w:szCs w:val="18"/>
              </w:rPr>
              <w:tab/>
            </w:r>
            <w:r w:rsidRPr="002A5A3F">
              <w:rPr>
                <w:noProof/>
                <w:webHidden/>
                <w:sz w:val="18"/>
                <w:szCs w:val="18"/>
              </w:rPr>
              <w:fldChar w:fldCharType="begin"/>
            </w:r>
            <w:r w:rsidRPr="002A5A3F">
              <w:rPr>
                <w:noProof/>
                <w:webHidden/>
                <w:sz w:val="18"/>
                <w:szCs w:val="18"/>
              </w:rPr>
              <w:instrText xml:space="preserve"> PAGEREF _Toc240360285 \h </w:instrText>
            </w:r>
            <w:r w:rsidRPr="002A5A3F">
              <w:rPr>
                <w:noProof/>
                <w:webHidden/>
                <w:sz w:val="18"/>
                <w:szCs w:val="18"/>
              </w:rPr>
            </w:r>
            <w:r w:rsidRPr="002A5A3F">
              <w:rPr>
                <w:noProof/>
                <w:webHidden/>
                <w:sz w:val="18"/>
                <w:szCs w:val="18"/>
              </w:rPr>
              <w:fldChar w:fldCharType="separate"/>
            </w:r>
            <w:r w:rsidR="00F00E09">
              <w:rPr>
                <w:noProof/>
                <w:webHidden/>
                <w:sz w:val="18"/>
                <w:szCs w:val="18"/>
              </w:rPr>
              <w:t>49</w:t>
            </w:r>
            <w:r w:rsidRPr="002A5A3F">
              <w:rPr>
                <w:noProof/>
                <w:webHidden/>
                <w:sz w:val="18"/>
                <w:szCs w:val="18"/>
              </w:rPr>
              <w:fldChar w:fldCharType="end"/>
            </w:r>
          </w:hyperlink>
        </w:p>
        <w:p w14:paraId="53E06CAE" w14:textId="7146EACC" w:rsidR="002A5A3F" w:rsidRPr="002A5A3F" w:rsidRDefault="002A5A3F" w:rsidP="002A5A3F">
          <w:pPr>
            <w:pStyle w:val="Verzeichnis1"/>
            <w:tabs>
              <w:tab w:val="clear" w:pos="7655"/>
              <w:tab w:val="right" w:leader="dot" w:pos="9065"/>
            </w:tabs>
            <w:rPr>
              <w:rFonts w:asciiTheme="minorHAnsi" w:hAnsiTheme="minorHAnsi"/>
              <w:noProof/>
              <w:color w:val="auto"/>
              <w:kern w:val="2"/>
              <w:sz w:val="18"/>
              <w:szCs w:val="18"/>
              <w14:ligatures w14:val="standardContextual"/>
            </w:rPr>
          </w:pPr>
          <w:hyperlink w:anchor="_Toc240360286" w:history="1">
            <w:r w:rsidRPr="002A5A3F">
              <w:rPr>
                <w:rStyle w:val="Hyperlink"/>
                <w:noProof/>
                <w:sz w:val="18"/>
                <w:szCs w:val="18"/>
              </w:rPr>
              <w:t>6</w:t>
            </w:r>
            <w:r w:rsidRPr="002A5A3F">
              <w:rPr>
                <w:rFonts w:asciiTheme="minorHAnsi" w:hAnsiTheme="minorHAnsi"/>
                <w:noProof/>
                <w:color w:val="auto"/>
                <w:kern w:val="2"/>
                <w:sz w:val="18"/>
                <w:szCs w:val="18"/>
                <w14:ligatures w14:val="standardContextual"/>
              </w:rPr>
              <w:tab/>
            </w:r>
            <w:r w:rsidRPr="002A5A3F">
              <w:rPr>
                <w:rStyle w:val="Hyperlink"/>
                <w:noProof/>
                <w:sz w:val="18"/>
                <w:szCs w:val="18"/>
              </w:rPr>
              <w:t>Abkürzungsverzeichnis</w:t>
            </w:r>
            <w:r w:rsidRPr="002A5A3F">
              <w:rPr>
                <w:noProof/>
                <w:webHidden/>
                <w:sz w:val="18"/>
                <w:szCs w:val="18"/>
              </w:rPr>
              <w:tab/>
            </w:r>
            <w:r w:rsidRPr="002A5A3F">
              <w:rPr>
                <w:noProof/>
                <w:webHidden/>
                <w:sz w:val="18"/>
                <w:szCs w:val="18"/>
              </w:rPr>
              <w:fldChar w:fldCharType="begin"/>
            </w:r>
            <w:r w:rsidRPr="002A5A3F">
              <w:rPr>
                <w:noProof/>
                <w:webHidden/>
                <w:sz w:val="18"/>
                <w:szCs w:val="18"/>
              </w:rPr>
              <w:instrText xml:space="preserve"> PAGEREF _Toc240360286 \h </w:instrText>
            </w:r>
            <w:r w:rsidRPr="002A5A3F">
              <w:rPr>
                <w:noProof/>
                <w:webHidden/>
                <w:sz w:val="18"/>
                <w:szCs w:val="18"/>
              </w:rPr>
            </w:r>
            <w:r w:rsidRPr="002A5A3F">
              <w:rPr>
                <w:noProof/>
                <w:webHidden/>
                <w:sz w:val="18"/>
                <w:szCs w:val="18"/>
              </w:rPr>
              <w:fldChar w:fldCharType="separate"/>
            </w:r>
            <w:r w:rsidR="00F00E09">
              <w:rPr>
                <w:noProof/>
                <w:webHidden/>
                <w:sz w:val="18"/>
                <w:szCs w:val="18"/>
              </w:rPr>
              <w:t>81</w:t>
            </w:r>
            <w:r w:rsidRPr="002A5A3F">
              <w:rPr>
                <w:noProof/>
                <w:webHidden/>
                <w:sz w:val="18"/>
                <w:szCs w:val="18"/>
              </w:rPr>
              <w:fldChar w:fldCharType="end"/>
            </w:r>
          </w:hyperlink>
        </w:p>
        <w:p w14:paraId="37CE58A6" w14:textId="63B62D05" w:rsidR="00263ED5" w:rsidRDefault="00263ED5">
          <w:r>
            <w:rPr>
              <w:b/>
              <w:bCs/>
            </w:rPr>
            <w:fldChar w:fldCharType="end"/>
          </w:r>
        </w:p>
      </w:sdtContent>
    </w:sdt>
    <w:p w14:paraId="647C352E" w14:textId="77777777" w:rsidR="00263ED5" w:rsidRDefault="00263ED5" w:rsidP="005744E4">
      <w:pPr>
        <w:jc w:val="both"/>
        <w:rPr>
          <w:rFonts w:cs="Arial"/>
        </w:rPr>
      </w:pPr>
    </w:p>
    <w:p w14:paraId="05141FC9" w14:textId="77777777" w:rsidR="00263ED5" w:rsidRDefault="00263ED5" w:rsidP="005744E4">
      <w:pPr>
        <w:jc w:val="both"/>
        <w:rPr>
          <w:rFonts w:cs="Arial"/>
        </w:rPr>
      </w:pPr>
    </w:p>
    <w:p w14:paraId="25B4A1B8" w14:textId="0C110C5E" w:rsidR="00263ED5" w:rsidRDefault="00263ED5" w:rsidP="005744E4">
      <w:pPr>
        <w:jc w:val="both"/>
        <w:rPr>
          <w:rFonts w:cs="Arial"/>
        </w:rPr>
        <w:sectPr w:rsidR="00263ED5" w:rsidSect="00263ED5">
          <w:headerReference w:type="even" r:id="rId9"/>
          <w:footerReference w:type="even" r:id="rId10"/>
          <w:footerReference w:type="default" r:id="rId11"/>
          <w:pgSz w:w="11901" w:h="16817"/>
          <w:pgMar w:top="1701" w:right="1701" w:bottom="1701" w:left="1135" w:header="851" w:footer="851" w:gutter="0"/>
          <w:pgNumType w:start="1"/>
          <w:cols w:space="708"/>
          <w:titlePg/>
          <w:docGrid w:linePitch="360"/>
        </w:sectPr>
      </w:pPr>
    </w:p>
    <w:p w14:paraId="77BF527C" w14:textId="13282483" w:rsidR="00053AF8" w:rsidRPr="00201374" w:rsidRDefault="005744E4" w:rsidP="008B1C27">
      <w:pPr>
        <w:pStyle w:val="berschrift1"/>
      </w:pPr>
      <w:bookmarkStart w:id="4" w:name="_Toc240029080"/>
      <w:bookmarkStart w:id="5" w:name="_Toc240360281"/>
      <w:r w:rsidRPr="008B1C27">
        <w:lastRenderedPageBreak/>
        <w:t>Allgemeine</w:t>
      </w:r>
      <w:r w:rsidRPr="00201374">
        <w:t xml:space="preserve"> Bestimmungen</w:t>
      </w:r>
      <w:bookmarkEnd w:id="4"/>
      <w:bookmarkEnd w:id="5"/>
      <w:r w:rsidRPr="00201374">
        <w:t xml:space="preserve"> </w:t>
      </w:r>
    </w:p>
    <w:tbl>
      <w:tblPr>
        <w:tblStyle w:val="Tabellenraster"/>
        <w:tblW w:w="5000" w:type="pct"/>
        <w:tblCellMar>
          <w:left w:w="0" w:type="dxa"/>
          <w:right w:w="0" w:type="dxa"/>
        </w:tblCellMar>
        <w:tblLook w:val="0620" w:firstRow="1" w:lastRow="0" w:firstColumn="0" w:lastColumn="0" w:noHBand="1" w:noVBand="1"/>
      </w:tblPr>
      <w:tblGrid>
        <w:gridCol w:w="285"/>
        <w:gridCol w:w="4110"/>
        <w:gridCol w:w="3654"/>
        <w:gridCol w:w="2683"/>
        <w:gridCol w:w="2683"/>
      </w:tblGrid>
      <w:tr w:rsidR="00C1515E" w:rsidRPr="00201374" w14:paraId="73F93D45" w14:textId="77777777" w:rsidTr="00C1515E">
        <w:trPr>
          <w:trHeight w:val="177"/>
          <w:tblHeader/>
        </w:trPr>
        <w:tc>
          <w:tcPr>
            <w:tcW w:w="1638" w:type="pct"/>
            <w:gridSpan w:val="2"/>
            <w:tcBorders>
              <w:top w:val="single" w:sz="12" w:space="0" w:color="272727"/>
              <w:left w:val="nil"/>
              <w:bottom w:val="single" w:sz="8" w:space="0" w:color="272727"/>
              <w:right w:val="single" w:sz="48" w:space="0" w:color="FFFFFF" w:themeColor="background1"/>
            </w:tcBorders>
          </w:tcPr>
          <w:p w14:paraId="2E6101BA" w14:textId="1DC6F8BD" w:rsidR="00C1515E" w:rsidRPr="00201374" w:rsidRDefault="00C1515E" w:rsidP="0033653C">
            <w:pPr>
              <w:pStyle w:val="Tabelleberschrift2"/>
              <w:rPr>
                <w:rFonts w:cs="Arial"/>
              </w:rPr>
            </w:pPr>
            <w:r w:rsidRPr="00201374">
              <w:rPr>
                <w:rFonts w:cs="Arial"/>
              </w:rPr>
              <w:t>Artikel</w:t>
            </w:r>
          </w:p>
        </w:tc>
        <w:tc>
          <w:tcPr>
            <w:tcW w:w="1362" w:type="pct"/>
            <w:tcBorders>
              <w:top w:val="single" w:sz="12" w:space="0" w:color="272727"/>
              <w:left w:val="single" w:sz="48" w:space="0" w:color="FFFFFF" w:themeColor="background1"/>
              <w:bottom w:val="single" w:sz="8" w:space="0" w:color="272727"/>
              <w:right w:val="single" w:sz="48" w:space="0" w:color="FFFFFF" w:themeColor="background1"/>
            </w:tcBorders>
          </w:tcPr>
          <w:p w14:paraId="5A8BF67D" w14:textId="5E8DA703" w:rsidR="00C1515E" w:rsidRPr="00201374" w:rsidRDefault="00C1515E" w:rsidP="0033653C">
            <w:pPr>
              <w:pStyle w:val="Tabelleberschrift2"/>
              <w:rPr>
                <w:rFonts w:cs="Arial"/>
              </w:rPr>
            </w:pPr>
            <w:r w:rsidRPr="00201374">
              <w:rPr>
                <w:rFonts w:cs="Arial"/>
              </w:rPr>
              <w:t>Wesentliche Inhalte/ergänzende Erläuterungen</w:t>
            </w:r>
          </w:p>
        </w:tc>
        <w:tc>
          <w:tcPr>
            <w:tcW w:w="1000" w:type="pct"/>
            <w:tcBorders>
              <w:top w:val="single" w:sz="12" w:space="0" w:color="272727"/>
              <w:left w:val="single" w:sz="48" w:space="0" w:color="FFFFFF" w:themeColor="background1"/>
              <w:bottom w:val="single" w:sz="8" w:space="0" w:color="272727"/>
              <w:right w:val="nil"/>
            </w:tcBorders>
          </w:tcPr>
          <w:p w14:paraId="467C02E9" w14:textId="07B2B6BC" w:rsidR="00C1515E" w:rsidRPr="00201374" w:rsidRDefault="00C1515E" w:rsidP="0033653C">
            <w:pPr>
              <w:pStyle w:val="Tabelleberschrift2"/>
              <w:rPr>
                <w:rFonts w:cs="Arial"/>
              </w:rPr>
            </w:pPr>
            <w:r w:rsidRPr="00201374">
              <w:rPr>
                <w:rFonts w:cs="Arial"/>
              </w:rPr>
              <w:t>Prüfungsvorschläge und Fragestellungen</w:t>
            </w:r>
          </w:p>
        </w:tc>
        <w:tc>
          <w:tcPr>
            <w:tcW w:w="1000" w:type="pct"/>
            <w:tcBorders>
              <w:top w:val="single" w:sz="12" w:space="0" w:color="272727"/>
              <w:left w:val="single" w:sz="48" w:space="0" w:color="FFFFFF" w:themeColor="background1"/>
              <w:bottom w:val="single" w:sz="8" w:space="0" w:color="272727"/>
              <w:right w:val="nil"/>
            </w:tcBorders>
          </w:tcPr>
          <w:p w14:paraId="1E8874E5" w14:textId="01A47F32" w:rsidR="00C1515E" w:rsidRPr="00201374" w:rsidRDefault="00C1515E" w:rsidP="0033653C">
            <w:pPr>
              <w:pStyle w:val="Tabelleberschrift2"/>
              <w:rPr>
                <w:rFonts w:cs="Arial"/>
              </w:rPr>
            </w:pPr>
            <w:r w:rsidRPr="00201374">
              <w:rPr>
                <w:rFonts w:cs="Arial"/>
              </w:rPr>
              <w:t>Prüfung beim Dienstleister bei Outsourcing (</w:t>
            </w:r>
            <w:r w:rsidRPr="00201374">
              <w:rPr>
                <w:rFonts w:cs="Arial"/>
                <w:i/>
              </w:rPr>
              <w:t>falls relevant</w:t>
            </w:r>
            <w:r w:rsidRPr="00201374">
              <w:rPr>
                <w:rFonts w:cs="Arial"/>
              </w:rPr>
              <w:t>)</w:t>
            </w:r>
          </w:p>
        </w:tc>
      </w:tr>
      <w:tr w:rsidR="00C1515E" w:rsidRPr="00201374" w14:paraId="0D445ECA" w14:textId="77777777" w:rsidTr="00C1515E">
        <w:trPr>
          <w:trHeight w:val="321"/>
        </w:trPr>
        <w:tc>
          <w:tcPr>
            <w:tcW w:w="5000" w:type="pct"/>
            <w:gridSpan w:val="5"/>
            <w:tcBorders>
              <w:top w:val="single" w:sz="8" w:space="0" w:color="272727"/>
              <w:left w:val="nil"/>
              <w:bottom w:val="single" w:sz="2" w:space="0" w:color="272727"/>
              <w:right w:val="single" w:sz="48" w:space="0" w:color="FFFFFF" w:themeColor="background1"/>
            </w:tcBorders>
          </w:tcPr>
          <w:p w14:paraId="0E0913AC" w14:textId="60DA179B" w:rsidR="00C1515E" w:rsidRPr="00201374" w:rsidRDefault="00C1515E" w:rsidP="0033653C">
            <w:pPr>
              <w:pStyle w:val="TabelleText"/>
              <w:rPr>
                <w:rFonts w:cs="Arial"/>
                <w:b/>
                <w:bCs/>
              </w:rPr>
            </w:pPr>
            <w:r w:rsidRPr="00201374">
              <w:rPr>
                <w:rFonts w:cs="Arial"/>
                <w:b/>
                <w:bCs/>
              </w:rPr>
              <w:t>Artikel 1 - Gegenstand</w:t>
            </w:r>
          </w:p>
        </w:tc>
      </w:tr>
      <w:tr w:rsidR="00C1515E" w:rsidRPr="00201374" w14:paraId="067CCC77" w14:textId="77777777" w:rsidTr="008B1C27">
        <w:trPr>
          <w:trHeight w:val="173"/>
        </w:trPr>
        <w:tc>
          <w:tcPr>
            <w:tcW w:w="106" w:type="pct"/>
            <w:tcBorders>
              <w:top w:val="single" w:sz="2" w:space="0" w:color="272727"/>
              <w:left w:val="nil"/>
              <w:bottom w:val="single" w:sz="2" w:space="0" w:color="272727"/>
              <w:right w:val="single" w:sz="48" w:space="0" w:color="FFFFFF" w:themeColor="background1"/>
            </w:tcBorders>
          </w:tcPr>
          <w:p w14:paraId="55063818" w14:textId="77777777" w:rsidR="00C1515E" w:rsidRPr="00201374" w:rsidRDefault="00C1515E" w:rsidP="002A158B">
            <w:pPr>
              <w:pStyle w:val="TabelleText"/>
              <w:spacing w:before="240"/>
              <w:rPr>
                <w:rFonts w:cs="Arial"/>
              </w:rPr>
            </w:pPr>
          </w:p>
        </w:tc>
        <w:tc>
          <w:tcPr>
            <w:tcW w:w="1532" w:type="pct"/>
            <w:tcBorders>
              <w:top w:val="single" w:sz="2" w:space="0" w:color="272727"/>
              <w:left w:val="nil"/>
              <w:bottom w:val="single" w:sz="2" w:space="0" w:color="272727"/>
              <w:right w:val="single" w:sz="48" w:space="0" w:color="FFFFFF" w:themeColor="background1"/>
            </w:tcBorders>
          </w:tcPr>
          <w:p w14:paraId="607A0842" w14:textId="0BC9BA8C" w:rsidR="00C1515E" w:rsidRPr="00201374" w:rsidRDefault="00C1515E" w:rsidP="002A158B">
            <w:pPr>
              <w:pStyle w:val="TabelleText"/>
              <w:spacing w:before="240"/>
              <w:rPr>
                <w:rFonts w:cs="Arial"/>
              </w:rPr>
            </w:pPr>
            <w:r w:rsidRPr="00201374">
              <w:rPr>
                <w:rFonts w:cs="Arial"/>
              </w:rPr>
              <w:t>In dieser Verordnung werden die Anforderungen festgelegt, die Zahlungsdienstleister für die Umsetzung von Sicherheitsmaßnahmen erfüllen müssen, die es ihnen ermöglichen,</w:t>
            </w:r>
          </w:p>
          <w:p w14:paraId="26FD9D82" w14:textId="6718AA9C" w:rsidR="00C1515E" w:rsidRPr="00201374" w:rsidRDefault="00C1515E" w:rsidP="002A158B">
            <w:pPr>
              <w:pStyle w:val="TabelleText"/>
              <w:spacing w:before="240"/>
              <w:rPr>
                <w:rFonts w:cs="Arial"/>
              </w:rPr>
            </w:pPr>
            <w:r w:rsidRPr="00201374">
              <w:rPr>
                <w:rFonts w:cs="Arial"/>
              </w:rPr>
              <w:t xml:space="preserve">a) das Verfahren zur starken Kundenauthentifizierung nach Art. 97 der Richtlinie (EU) 2015/2366 anzuwenden; </w:t>
            </w:r>
          </w:p>
          <w:p w14:paraId="3B033710" w14:textId="38561025" w:rsidR="00C1515E" w:rsidRPr="00201374" w:rsidRDefault="00C1515E" w:rsidP="002A158B">
            <w:pPr>
              <w:pStyle w:val="TabelleText"/>
              <w:spacing w:before="240"/>
              <w:rPr>
                <w:rFonts w:cs="Arial"/>
              </w:rPr>
            </w:pPr>
            <w:r w:rsidRPr="00201374">
              <w:rPr>
                <w:rFonts w:cs="Arial"/>
              </w:rPr>
              <w:t xml:space="preserve">b) unter genau festgelegten, eingeschränkten Voraussetzungen, die auf die Höhe des Risikos, den Betrag und die Häufigkeit des Zahlungsvorgangs sowie auf den für dessen Ausführung genutzten Zahlungsweg abstellen, von der Durchführung der aus Sicherheitsgründen vorgeschriebenen starken Kundenauthentifizierung abzusehen; </w:t>
            </w:r>
          </w:p>
          <w:p w14:paraId="6E7349A2" w14:textId="58B61D61" w:rsidR="00C1515E" w:rsidRPr="00201374" w:rsidRDefault="00C1515E" w:rsidP="002A158B">
            <w:pPr>
              <w:pStyle w:val="TabelleText"/>
              <w:spacing w:before="240"/>
              <w:rPr>
                <w:rFonts w:cs="Arial"/>
              </w:rPr>
            </w:pPr>
            <w:r w:rsidRPr="00201374">
              <w:rPr>
                <w:rFonts w:cs="Arial"/>
              </w:rPr>
              <w:t>c) die Vertraulichkeit und Integrität der personalisierten Sicherheitsmerkmale der Zahlungsdienstnutzer zu schützen;</w:t>
            </w:r>
          </w:p>
          <w:p w14:paraId="12F532CB" w14:textId="1EB05804" w:rsidR="00C1515E" w:rsidRPr="00201374" w:rsidRDefault="00C1515E" w:rsidP="002A158B">
            <w:pPr>
              <w:pStyle w:val="TabelleText"/>
              <w:spacing w:before="240"/>
              <w:rPr>
                <w:rFonts w:cs="Arial"/>
              </w:rPr>
            </w:pPr>
            <w:r w:rsidRPr="00201374">
              <w:rPr>
                <w:rFonts w:cs="Arial"/>
              </w:rPr>
              <w:lastRenderedPageBreak/>
              <w:t>d) gemeinsame und sichere offene Standards für die Kommunikation zwischen kontoführenden Zahlungsdienstleistern, Zahlungsauslösedienstleistern, Kontoinformationsdienstleistern, Zahlern, Zahlungsempfängern und anderen Zahlungsdienstleistern im Zusammenhang mit der Erbringung und der Nutzung von Zahlungsdiensten gemäß Titel IV der Richtlinie (EU) 2015/2366 festzulegen.</w:t>
            </w:r>
          </w:p>
        </w:tc>
        <w:tc>
          <w:tcPr>
            <w:tcW w:w="1362" w:type="pct"/>
            <w:tcBorders>
              <w:top w:val="single" w:sz="2" w:space="0" w:color="272727"/>
              <w:left w:val="nil"/>
              <w:bottom w:val="single" w:sz="2" w:space="0" w:color="272727"/>
              <w:right w:val="single" w:sz="48" w:space="0" w:color="FFFFFF" w:themeColor="background1"/>
            </w:tcBorders>
          </w:tcPr>
          <w:p w14:paraId="250A37D1" w14:textId="43C8D72D" w:rsidR="00C1515E" w:rsidRPr="00201374" w:rsidRDefault="00C1515E" w:rsidP="002A158B">
            <w:pPr>
              <w:pStyle w:val="TabelleText"/>
              <w:spacing w:before="240"/>
              <w:rPr>
                <w:rFonts w:cs="Arial"/>
              </w:rPr>
            </w:pPr>
            <w:r w:rsidRPr="00201374">
              <w:rPr>
                <w:rFonts w:cs="Arial"/>
              </w:rPr>
              <w:lastRenderedPageBreak/>
              <w:t>Grundlegende Themen in der Verordnung:</w:t>
            </w:r>
          </w:p>
          <w:p w14:paraId="302CAAE7" w14:textId="0AF3B4B0" w:rsidR="00C1515E" w:rsidRPr="00201374" w:rsidRDefault="00C1515E" w:rsidP="002A158B">
            <w:pPr>
              <w:pStyle w:val="TabelleText"/>
              <w:spacing w:before="240"/>
              <w:rPr>
                <w:rFonts w:cs="Arial"/>
              </w:rPr>
            </w:pPr>
            <w:r w:rsidRPr="00201374">
              <w:rPr>
                <w:rFonts w:cs="Arial"/>
              </w:rPr>
              <w:t xml:space="preserve">- Anwendung und Ausnahmen der starken Kundenauthentifizierung (SKA) </w:t>
            </w:r>
          </w:p>
          <w:p w14:paraId="2985FA93" w14:textId="42678786" w:rsidR="00C1515E" w:rsidRPr="00201374" w:rsidRDefault="00C1515E" w:rsidP="002A158B">
            <w:pPr>
              <w:pStyle w:val="TabelleText"/>
              <w:spacing w:before="240"/>
              <w:rPr>
                <w:rFonts w:cs="Arial"/>
              </w:rPr>
            </w:pPr>
            <w:r w:rsidRPr="00201374">
              <w:rPr>
                <w:rFonts w:cs="Arial"/>
              </w:rPr>
              <w:t>- Datenschutz- und Sicherheitsstandards</w:t>
            </w:r>
          </w:p>
          <w:p w14:paraId="63AA4D31" w14:textId="13EA9366" w:rsidR="00C1515E" w:rsidRPr="00201374" w:rsidRDefault="00C1515E" w:rsidP="002A158B">
            <w:pPr>
              <w:pStyle w:val="TabelleText"/>
              <w:spacing w:before="240"/>
              <w:rPr>
                <w:rFonts w:cs="Arial"/>
              </w:rPr>
            </w:pPr>
            <w:r w:rsidRPr="00201374">
              <w:rPr>
                <w:rFonts w:cs="Arial"/>
              </w:rPr>
              <w:t>- Schnittstellen und Kommunikationsstandards (API)</w:t>
            </w:r>
          </w:p>
        </w:tc>
        <w:tc>
          <w:tcPr>
            <w:tcW w:w="1000" w:type="pct"/>
            <w:tcBorders>
              <w:top w:val="single" w:sz="2" w:space="0" w:color="272727"/>
              <w:left w:val="single" w:sz="48" w:space="0" w:color="FFFFFF" w:themeColor="background1"/>
              <w:bottom w:val="single" w:sz="2" w:space="0" w:color="272727"/>
              <w:right w:val="nil"/>
            </w:tcBorders>
          </w:tcPr>
          <w:p w14:paraId="570125C9" w14:textId="18C6F361" w:rsidR="00C1515E" w:rsidRPr="00201374" w:rsidRDefault="00C1515E" w:rsidP="002A158B">
            <w:pPr>
              <w:pStyle w:val="TabelleText"/>
              <w:spacing w:before="240"/>
              <w:rPr>
                <w:rFonts w:cs="Arial"/>
              </w:rPr>
            </w:pPr>
            <w:r w:rsidRPr="00201374">
              <w:rPr>
                <w:rFonts w:cs="Arial"/>
              </w:rPr>
              <w:t>a) Relevanz prüfen, ob Electronic-Banking Services (bspw. Online-Banking, Mobile-Banking) oder Kartenzahlungen den Kunden angeboten werden; wenn ja RTS-Prüfung lt. Art. 3 jährlich durchführen.</w:t>
            </w:r>
          </w:p>
          <w:p w14:paraId="1EC82379" w14:textId="23737F98" w:rsidR="00C1515E" w:rsidRPr="00201374" w:rsidRDefault="00C1515E" w:rsidP="002A158B">
            <w:pPr>
              <w:pStyle w:val="TabelleText"/>
              <w:spacing w:before="240"/>
              <w:rPr>
                <w:rFonts w:cs="Arial"/>
              </w:rPr>
            </w:pPr>
            <w:r w:rsidRPr="00201374">
              <w:rPr>
                <w:rFonts w:cs="Arial"/>
              </w:rPr>
              <w:t>b) Erhebung, ob Ausnahmen von SKA im Electronic-Banking oder bei den Kartenzahlungen (z. B. Parkautomaten, Zahlungs- oder Kartenaufträge) genutzt werden (hierzu die RTS Art. 10-21 prüfen)</w:t>
            </w:r>
          </w:p>
          <w:p w14:paraId="17391E56" w14:textId="20F2BC44" w:rsidR="00C1515E" w:rsidRPr="00201374" w:rsidRDefault="00C1515E" w:rsidP="002A158B">
            <w:pPr>
              <w:pStyle w:val="TabelleText"/>
              <w:spacing w:before="240"/>
              <w:rPr>
                <w:rFonts w:cs="Arial"/>
              </w:rPr>
            </w:pPr>
            <w:r w:rsidRPr="00201374">
              <w:rPr>
                <w:rFonts w:cs="Arial"/>
              </w:rPr>
              <w:t xml:space="preserve">c) Prüfung der Einhaltung der RTS Art. 22-27. </w:t>
            </w:r>
          </w:p>
          <w:p w14:paraId="17603A87" w14:textId="054D9932" w:rsidR="00C1515E" w:rsidRPr="00201374" w:rsidRDefault="00C1515E" w:rsidP="002A158B">
            <w:pPr>
              <w:pStyle w:val="TabelleText"/>
              <w:spacing w:before="240"/>
              <w:rPr>
                <w:rFonts w:cs="Arial"/>
              </w:rPr>
            </w:pPr>
            <w:r w:rsidRPr="00201374">
              <w:rPr>
                <w:rFonts w:cs="Arial"/>
              </w:rPr>
              <w:t>d) Prüfung der Einhaltung der RTS Art. 28-36.</w:t>
            </w:r>
          </w:p>
        </w:tc>
        <w:tc>
          <w:tcPr>
            <w:tcW w:w="1000" w:type="pct"/>
            <w:tcBorders>
              <w:top w:val="single" w:sz="2" w:space="0" w:color="272727"/>
              <w:left w:val="single" w:sz="48" w:space="0" w:color="FFFFFF" w:themeColor="background1"/>
              <w:bottom w:val="single" w:sz="2" w:space="0" w:color="272727"/>
              <w:right w:val="nil"/>
            </w:tcBorders>
          </w:tcPr>
          <w:p w14:paraId="1A3C17E5" w14:textId="197332CF" w:rsidR="00C1515E" w:rsidRPr="00201374" w:rsidRDefault="00C1515E" w:rsidP="002A158B">
            <w:pPr>
              <w:pStyle w:val="TabelleText"/>
              <w:spacing w:before="240"/>
              <w:rPr>
                <w:rFonts w:cs="Arial"/>
              </w:rPr>
            </w:pPr>
            <w:r w:rsidRPr="00201374">
              <w:rPr>
                <w:rFonts w:cs="Arial"/>
              </w:rPr>
              <w:t>Umfassen Prüfungen der Internen Revision (IR) des Auslagerungsunternehmens die Einhaltung der RTS/PSD2?</w:t>
            </w:r>
          </w:p>
          <w:p w14:paraId="183226D0" w14:textId="34C58B06" w:rsidR="00C1515E" w:rsidRPr="00201374" w:rsidRDefault="00C1515E" w:rsidP="002A158B">
            <w:pPr>
              <w:pStyle w:val="TabelleText"/>
              <w:spacing w:before="240"/>
              <w:rPr>
                <w:rFonts w:cs="Arial"/>
              </w:rPr>
            </w:pPr>
            <w:r w:rsidRPr="00201374">
              <w:rPr>
                <w:rFonts w:cs="Arial"/>
              </w:rPr>
              <w:t>Einsichtnahme des Audit Universe/der Prüfungsplanung.</w:t>
            </w:r>
          </w:p>
          <w:p w14:paraId="5CB1485D" w14:textId="1B2D5293" w:rsidR="00C1515E" w:rsidRPr="00201374" w:rsidRDefault="00C1515E" w:rsidP="002A158B">
            <w:pPr>
              <w:pStyle w:val="TabelleText"/>
              <w:spacing w:before="240"/>
              <w:rPr>
                <w:rFonts w:cs="Arial"/>
              </w:rPr>
            </w:pPr>
            <w:r w:rsidRPr="00201374">
              <w:rPr>
                <w:rFonts w:cs="Arial"/>
              </w:rPr>
              <w:t>RTS/PSD2 relevante Prüfungsergebnisse/-berichte anfordern und auswerten.</w:t>
            </w:r>
          </w:p>
          <w:p w14:paraId="61B20BD5" w14:textId="18320017" w:rsidR="00C1515E" w:rsidRPr="00201374" w:rsidRDefault="00C1515E" w:rsidP="002A158B">
            <w:pPr>
              <w:pStyle w:val="TabelleText"/>
              <w:spacing w:before="240"/>
              <w:rPr>
                <w:rFonts w:cs="Arial"/>
              </w:rPr>
            </w:pPr>
            <w:r w:rsidRPr="00201374">
              <w:rPr>
                <w:rFonts w:cs="Arial"/>
              </w:rPr>
              <w:t>PSD2-Zertifikate vom Dienstleister sowie Geräte- und Softwareherstellern einfordern und prüfen.</w:t>
            </w:r>
          </w:p>
        </w:tc>
      </w:tr>
      <w:tr w:rsidR="00C1515E" w:rsidRPr="00201374" w14:paraId="1F3DE673" w14:textId="77777777" w:rsidTr="00C1515E">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5B4272E0" w14:textId="6AA2C323" w:rsidR="00C1515E" w:rsidRPr="00201374" w:rsidRDefault="00C1515E" w:rsidP="0033653C">
            <w:pPr>
              <w:pStyle w:val="TabelleText"/>
              <w:rPr>
                <w:rFonts w:cs="Arial"/>
                <w:b/>
                <w:bCs/>
              </w:rPr>
            </w:pPr>
            <w:r w:rsidRPr="00201374">
              <w:rPr>
                <w:rFonts w:cs="Arial"/>
                <w:b/>
                <w:bCs/>
              </w:rPr>
              <w:t>Artikel 2 - Allgemeine Anforderungen an die Authentifizierung</w:t>
            </w:r>
          </w:p>
        </w:tc>
      </w:tr>
      <w:tr w:rsidR="00C1515E" w:rsidRPr="00201374" w14:paraId="6BDF877F"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34E06C44" w14:textId="77777777" w:rsidR="00C1515E" w:rsidRPr="00201374" w:rsidRDefault="00C1515E" w:rsidP="002A158B">
            <w:pPr>
              <w:pStyle w:val="TabelleText"/>
              <w:spacing w:before="240"/>
              <w:rPr>
                <w:rFonts w:cs="Arial"/>
              </w:rPr>
            </w:pPr>
            <w:r w:rsidRPr="00201374">
              <w:rPr>
                <w:rFonts w:cs="Arial"/>
              </w:rPr>
              <w:t>(1)</w:t>
            </w:r>
          </w:p>
          <w:p w14:paraId="7AF4E451" w14:textId="77777777" w:rsidR="00C1515E" w:rsidRPr="00201374" w:rsidRDefault="00C1515E" w:rsidP="002A158B">
            <w:pPr>
              <w:pStyle w:val="TabelleText"/>
              <w:spacing w:before="240"/>
              <w:rPr>
                <w:rFonts w:cs="Arial"/>
              </w:rPr>
            </w:pPr>
          </w:p>
        </w:tc>
        <w:tc>
          <w:tcPr>
            <w:tcW w:w="1532" w:type="pct"/>
            <w:tcBorders>
              <w:top w:val="single" w:sz="2" w:space="0" w:color="272727"/>
              <w:left w:val="nil"/>
              <w:bottom w:val="single" w:sz="2" w:space="0" w:color="272727"/>
              <w:right w:val="single" w:sz="48" w:space="0" w:color="FFFFFF" w:themeColor="background1"/>
            </w:tcBorders>
          </w:tcPr>
          <w:p w14:paraId="6E3FCF0E" w14:textId="77777777" w:rsidR="00C1515E" w:rsidRPr="00201374" w:rsidRDefault="00C1515E" w:rsidP="002A158B">
            <w:pPr>
              <w:pStyle w:val="TabelleText"/>
              <w:spacing w:before="240"/>
              <w:rPr>
                <w:rFonts w:cs="Arial"/>
              </w:rPr>
            </w:pPr>
            <w:r w:rsidRPr="00201374">
              <w:rPr>
                <w:rFonts w:cs="Arial"/>
              </w:rPr>
              <w:t>Die Zahlungsdienstleister verfügen über Transaktionsüberwachungsmechanismen, die ihnen für den Zweck der Umsetzung der in Art. 1 Buchstaben a und b genannten Sicherheitsmaßnahmen die Erkennung nicht autorisierter oder betrügerischer Zahlungsvorgänge ermöglichen.</w:t>
            </w:r>
          </w:p>
          <w:p w14:paraId="60E29712" w14:textId="7E84C735" w:rsidR="00C1515E" w:rsidRPr="00201374" w:rsidRDefault="00C1515E" w:rsidP="002A158B">
            <w:pPr>
              <w:pStyle w:val="TabelleText"/>
              <w:spacing w:before="240"/>
              <w:rPr>
                <w:rFonts w:cs="Arial"/>
              </w:rPr>
            </w:pPr>
            <w:r w:rsidRPr="00201374">
              <w:rPr>
                <w:rFonts w:cs="Arial"/>
              </w:rPr>
              <w:t>Diese Mechanismen basieren auf der Analyse von Zahlungsvorgängen unter Berücksichtigung der Elemente, die für den Zahlungsdienstnutzer im Rahmen einer normalen Verwendung der personalisierten Sicherheitsmerkmale typisch sind.</w:t>
            </w:r>
          </w:p>
        </w:tc>
        <w:tc>
          <w:tcPr>
            <w:tcW w:w="1362" w:type="pct"/>
            <w:tcBorders>
              <w:top w:val="single" w:sz="2" w:space="0" w:color="272727"/>
              <w:left w:val="nil"/>
              <w:bottom w:val="single" w:sz="2" w:space="0" w:color="272727"/>
              <w:right w:val="single" w:sz="48" w:space="0" w:color="FFFFFF" w:themeColor="background1"/>
            </w:tcBorders>
          </w:tcPr>
          <w:p w14:paraId="71C0D12A" w14:textId="2FCE6D28" w:rsidR="00C1515E" w:rsidRPr="00201374" w:rsidRDefault="00C1515E" w:rsidP="002A158B">
            <w:pPr>
              <w:spacing w:before="240"/>
              <w:rPr>
                <w:rFonts w:cs="Arial"/>
                <w:sz w:val="17"/>
                <w:szCs w:val="17"/>
              </w:rPr>
            </w:pPr>
            <w:r w:rsidRPr="00201374">
              <w:rPr>
                <w:rFonts w:cs="Arial"/>
                <w:sz w:val="17"/>
                <w:szCs w:val="17"/>
              </w:rPr>
              <w:t>Transaktionsüberwachung im Zahlungsverkehr:</w:t>
            </w:r>
          </w:p>
          <w:p w14:paraId="6FCA7EC1" w14:textId="46DB3BA2" w:rsidR="00C1515E" w:rsidRPr="00201374" w:rsidRDefault="00C1515E" w:rsidP="002A158B">
            <w:pPr>
              <w:spacing w:before="240"/>
              <w:rPr>
                <w:rFonts w:cs="Arial"/>
              </w:rPr>
            </w:pPr>
            <w:r w:rsidRPr="00201374">
              <w:rPr>
                <w:rFonts w:cs="Arial"/>
                <w:sz w:val="17"/>
                <w:szCs w:val="17"/>
              </w:rPr>
              <w:t>Die Bank muss über wirksame Transaktionsüberwachungsmechanismen verfügen, die eine Erkennung nicht autorisierter oder betrügerischer Zahlungsvorgänge ermöglichen, z. B. Geoscreening, zeitliche Auffälligkeiten, Rücksetzen von SKA-Komponenten (vgl. Abs. 2).</w:t>
            </w:r>
          </w:p>
        </w:tc>
        <w:tc>
          <w:tcPr>
            <w:tcW w:w="1000" w:type="pct"/>
            <w:tcBorders>
              <w:top w:val="single" w:sz="2" w:space="0" w:color="272727"/>
              <w:left w:val="single" w:sz="48" w:space="0" w:color="FFFFFF" w:themeColor="background1"/>
              <w:bottom w:val="single" w:sz="2" w:space="0" w:color="272727"/>
              <w:right w:val="nil"/>
            </w:tcBorders>
          </w:tcPr>
          <w:p w14:paraId="62855882" w14:textId="77777777" w:rsidR="00C1515E" w:rsidRPr="00201374" w:rsidRDefault="00C1515E" w:rsidP="002A158B">
            <w:pPr>
              <w:pStyle w:val="TabelleText"/>
              <w:spacing w:before="240"/>
            </w:pPr>
            <w:r w:rsidRPr="00201374">
              <w:t xml:space="preserve">Erhebung der Transaktionsüberwachungs-mechanismen für Electronic-Banking und Kartenzahlungen (z. B. Authentifizierungskontrollen, Virenprüfprogramme, Antibetrugssysteme). </w:t>
            </w:r>
          </w:p>
          <w:p w14:paraId="3794D128" w14:textId="529F5955" w:rsidR="00C1515E" w:rsidRPr="00201374" w:rsidRDefault="00C1515E" w:rsidP="002A158B">
            <w:pPr>
              <w:pStyle w:val="TabelleText"/>
              <w:spacing w:before="240"/>
            </w:pPr>
            <w:r w:rsidRPr="00201374">
              <w:t xml:space="preserve">Gibt es ein Fachkonzept/grundlegende Regelungen in der Bank? </w:t>
            </w:r>
          </w:p>
          <w:p w14:paraId="2FA9CDDB" w14:textId="77777777" w:rsidR="00C1515E" w:rsidRPr="00201374" w:rsidRDefault="00C1515E" w:rsidP="002A158B">
            <w:pPr>
              <w:pStyle w:val="TabelleText"/>
              <w:spacing w:before="240"/>
            </w:pPr>
            <w:r w:rsidRPr="00201374">
              <w:t>Wer ist verantwortlich?</w:t>
            </w:r>
          </w:p>
          <w:p w14:paraId="7B6A499F" w14:textId="77777777" w:rsidR="00C1515E" w:rsidRPr="00201374" w:rsidRDefault="00C1515E" w:rsidP="002A158B">
            <w:pPr>
              <w:pStyle w:val="TabelleText"/>
              <w:spacing w:before="240"/>
            </w:pPr>
            <w:r w:rsidRPr="00201374">
              <w:t>Welche Kompetenzen sind vorhanden?</w:t>
            </w:r>
          </w:p>
          <w:p w14:paraId="4625777E" w14:textId="77777777" w:rsidR="00C1515E" w:rsidRPr="00201374" w:rsidRDefault="00C1515E" w:rsidP="002A158B">
            <w:pPr>
              <w:pStyle w:val="TabelleText"/>
              <w:spacing w:before="240"/>
            </w:pPr>
            <w:r w:rsidRPr="00201374">
              <w:t>Wer darf die Regeln ändern?</w:t>
            </w:r>
          </w:p>
          <w:p w14:paraId="302B9CC9" w14:textId="77777777" w:rsidR="00C1515E" w:rsidRPr="00201374" w:rsidRDefault="00C1515E" w:rsidP="002A158B">
            <w:pPr>
              <w:pStyle w:val="TabelleText"/>
              <w:spacing w:before="240"/>
            </w:pPr>
            <w:r w:rsidRPr="00201374">
              <w:t>Gibt es Testkonzepte und Testdokumentationen?</w:t>
            </w:r>
          </w:p>
          <w:p w14:paraId="4339FB23" w14:textId="77777777" w:rsidR="00C1515E" w:rsidRPr="00201374" w:rsidRDefault="00C1515E" w:rsidP="002A158B">
            <w:pPr>
              <w:pStyle w:val="TabelleText"/>
              <w:spacing w:before="240"/>
            </w:pPr>
            <w:r w:rsidRPr="00201374">
              <w:lastRenderedPageBreak/>
              <w:t>Sind die Regelungen zur Funktionstrennung eingehalten?</w:t>
            </w:r>
          </w:p>
          <w:p w14:paraId="7BCC47BF" w14:textId="77777777" w:rsidR="00C1515E" w:rsidRPr="00201374" w:rsidRDefault="00C1515E" w:rsidP="002A158B">
            <w:pPr>
              <w:pStyle w:val="TabelleText"/>
              <w:spacing w:before="240"/>
            </w:pPr>
            <w:r w:rsidRPr="00201374">
              <w:t xml:space="preserve">Wurden seit der letzten Prüfung Änderungen an den hinterlegten Regeln vorgenommen? </w:t>
            </w:r>
          </w:p>
          <w:p w14:paraId="23071C0D" w14:textId="77777777" w:rsidR="00C1515E" w:rsidRPr="00201374" w:rsidRDefault="00C1515E" w:rsidP="002A158B">
            <w:pPr>
              <w:pStyle w:val="TabelleText"/>
              <w:spacing w:before="240"/>
            </w:pPr>
            <w:r w:rsidRPr="00201374">
              <w:t>Wie wurde dies dokumentiert?</w:t>
            </w:r>
          </w:p>
          <w:p w14:paraId="430640C6" w14:textId="77777777" w:rsidR="00C1515E" w:rsidRPr="00201374" w:rsidRDefault="00C1515E" w:rsidP="002A158B">
            <w:pPr>
              <w:pStyle w:val="TabelleText"/>
              <w:spacing w:before="240"/>
            </w:pPr>
            <w:r w:rsidRPr="00201374">
              <w:t>Wurden die Regeln risikoorientiert hergeleitet?</w:t>
            </w:r>
          </w:p>
          <w:p w14:paraId="45D94FDE" w14:textId="77777777" w:rsidR="00C1515E" w:rsidRPr="00201374" w:rsidRDefault="00C1515E" w:rsidP="002A158B">
            <w:pPr>
              <w:pStyle w:val="TabelleText"/>
              <w:spacing w:before="240"/>
            </w:pPr>
            <w:r w:rsidRPr="00201374">
              <w:t>Gibt es Verbandsempfehlungen zur Parametrisierung?</w:t>
            </w:r>
          </w:p>
          <w:p w14:paraId="0D26847D" w14:textId="77777777" w:rsidR="00C1515E" w:rsidRPr="00201374" w:rsidRDefault="00C1515E" w:rsidP="002A158B">
            <w:pPr>
              <w:pStyle w:val="TabelleText"/>
              <w:spacing w:before="240"/>
            </w:pPr>
            <w:r w:rsidRPr="00201374">
              <w:t>Wurde ein Standardregelset eingesetzt und ist dies angepasst auf die institutsspezifische Risikosituation?</w:t>
            </w:r>
          </w:p>
          <w:p w14:paraId="5EE74CE7" w14:textId="77777777" w:rsidR="00C1515E" w:rsidRPr="00201374" w:rsidRDefault="00C1515E" w:rsidP="002A158B">
            <w:pPr>
              <w:pStyle w:val="TabelleText"/>
              <w:spacing w:before="240"/>
            </w:pPr>
            <w:r w:rsidRPr="00201374">
              <w:t>Sind neue Betrugsmuster bekannt und für diese auch angemessene Regeln integriert?</w:t>
            </w:r>
          </w:p>
          <w:p w14:paraId="0386571B" w14:textId="77777777" w:rsidR="00C1515E" w:rsidRPr="00201374" w:rsidRDefault="00C1515E" w:rsidP="002A158B">
            <w:pPr>
              <w:pStyle w:val="TabelleText"/>
              <w:spacing w:before="240"/>
            </w:pPr>
            <w:r w:rsidRPr="00201374">
              <w:t>Gibt es neue fachliche oder technische Ergänzungen oder Rundschreiben (BaFin, Verbandsrundschreiben, etc.), die zu berücksichtigen sind?</w:t>
            </w:r>
          </w:p>
          <w:p w14:paraId="4A2DBDD1" w14:textId="5BCC4824" w:rsidR="00C1515E" w:rsidRPr="00201374" w:rsidRDefault="00C1515E" w:rsidP="002A158B">
            <w:pPr>
              <w:pStyle w:val="TabelleText"/>
              <w:spacing w:before="240"/>
            </w:pPr>
            <w:r w:rsidRPr="00201374">
              <w:lastRenderedPageBreak/>
              <w:t>Prüfung der eingesetzten Regeln:</w:t>
            </w:r>
          </w:p>
          <w:p w14:paraId="466D9D8F" w14:textId="0949A4AB" w:rsidR="00C1515E" w:rsidRPr="00201374" w:rsidRDefault="00C1515E" w:rsidP="002A158B">
            <w:pPr>
              <w:pStyle w:val="TabelleText"/>
              <w:spacing w:before="240"/>
            </w:pPr>
            <w:r w:rsidRPr="00201374">
              <w:t xml:space="preserve">Werden zumindest alle genannten risikobasierten Faktoren gem. Art. 2, Abs. 2 a-e i. V. m. Transaktionsüberwachungsmechanismen berücksichtigt? </w:t>
            </w:r>
          </w:p>
        </w:tc>
        <w:tc>
          <w:tcPr>
            <w:tcW w:w="1000" w:type="pct"/>
            <w:tcBorders>
              <w:top w:val="single" w:sz="2" w:space="0" w:color="272727"/>
              <w:left w:val="single" w:sz="48" w:space="0" w:color="FFFFFF" w:themeColor="background1"/>
              <w:bottom w:val="single" w:sz="2" w:space="0" w:color="272727"/>
              <w:right w:val="nil"/>
            </w:tcBorders>
          </w:tcPr>
          <w:p w14:paraId="5C616F5B" w14:textId="77777777" w:rsidR="00C1515E" w:rsidRPr="00201374" w:rsidRDefault="00C1515E" w:rsidP="002A158B">
            <w:pPr>
              <w:pStyle w:val="TabelleText"/>
              <w:spacing w:before="240"/>
              <w:rPr>
                <w:rFonts w:cs="Arial"/>
              </w:rPr>
            </w:pPr>
            <w:r w:rsidRPr="00201374">
              <w:rPr>
                <w:rFonts w:cs="Arial"/>
              </w:rPr>
              <w:lastRenderedPageBreak/>
              <w:t xml:space="preserve">Liegt eine Prüfungsdokumentation eines Dienstleisters vor, ist zu prüfen, ob darin die nebenstehenden Prüfungshandlungen vollständig abgedeckt und nachvollziehbar berücksichtigt wurden. </w:t>
            </w:r>
          </w:p>
          <w:p w14:paraId="76426311" w14:textId="638B8799" w:rsidR="00C1515E" w:rsidRPr="00201374" w:rsidRDefault="00C1515E" w:rsidP="002A158B">
            <w:pPr>
              <w:pStyle w:val="TabelleText"/>
              <w:spacing w:before="240"/>
              <w:rPr>
                <w:rFonts w:cs="Arial"/>
              </w:rPr>
            </w:pPr>
            <w:r w:rsidRPr="00201374">
              <w:rPr>
                <w:rFonts w:cs="Arial"/>
              </w:rPr>
              <w:t>Prüfungsergebnisse/-berichte, Handbücher oder technische Funktionsbeschreibungen zu Transaktionsüberwachungsmechanismen anfordern und prüfen.</w:t>
            </w:r>
          </w:p>
        </w:tc>
      </w:tr>
      <w:tr w:rsidR="00C1515E" w:rsidRPr="00201374" w14:paraId="0F86E89A"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78C49903" w14:textId="77777777" w:rsidR="00C1515E" w:rsidRPr="00C1515E" w:rsidRDefault="00C1515E" w:rsidP="002A158B">
            <w:pPr>
              <w:pStyle w:val="TabelleText"/>
              <w:spacing w:before="240"/>
            </w:pPr>
            <w:r w:rsidRPr="00C1515E">
              <w:lastRenderedPageBreak/>
              <w:t>(2)</w:t>
            </w:r>
          </w:p>
          <w:p w14:paraId="2131ADD6" w14:textId="77777777" w:rsidR="00C1515E" w:rsidRPr="00C1515E" w:rsidRDefault="00C1515E" w:rsidP="002A158B">
            <w:pPr>
              <w:pStyle w:val="TabelleText"/>
              <w:spacing w:before="240"/>
            </w:pPr>
          </w:p>
        </w:tc>
        <w:tc>
          <w:tcPr>
            <w:tcW w:w="1532" w:type="pct"/>
            <w:tcBorders>
              <w:top w:val="single" w:sz="2" w:space="0" w:color="272727"/>
              <w:left w:val="nil"/>
              <w:bottom w:val="single" w:sz="2" w:space="0" w:color="272727"/>
              <w:right w:val="single" w:sz="48" w:space="0" w:color="FFFFFF" w:themeColor="background1"/>
            </w:tcBorders>
          </w:tcPr>
          <w:p w14:paraId="6D71ACB7" w14:textId="7BCA312A" w:rsidR="00C1515E" w:rsidRPr="00C1515E" w:rsidRDefault="00C1515E" w:rsidP="002A158B">
            <w:pPr>
              <w:pStyle w:val="TabelleText"/>
              <w:spacing w:before="240"/>
            </w:pPr>
            <w:r w:rsidRPr="00C1515E">
              <w:t xml:space="preserve">Die Zahlungsdienstleister stellen sicher, dass die Transaktionsüberwachungsmechanismen zumindest alle nachstehend genannten risikobasierten Faktoren einbeziehen: </w:t>
            </w:r>
          </w:p>
          <w:p w14:paraId="26470CCA" w14:textId="16CD1D1C" w:rsidR="00C1515E" w:rsidRPr="00C1515E" w:rsidRDefault="00C1515E" w:rsidP="002A158B">
            <w:pPr>
              <w:pStyle w:val="TabelleText"/>
              <w:spacing w:before="240"/>
            </w:pPr>
            <w:r w:rsidRPr="00C1515E">
              <w:t>a) Liste der missbräuchlich verwendeten oder gestohlenen Authentifizierungselemente;</w:t>
            </w:r>
          </w:p>
          <w:p w14:paraId="55D8AD0F" w14:textId="55E27098" w:rsidR="00C1515E" w:rsidRPr="00C1515E" w:rsidRDefault="00C1515E" w:rsidP="002A158B">
            <w:pPr>
              <w:pStyle w:val="TabelleText"/>
              <w:spacing w:before="240"/>
            </w:pPr>
            <w:r w:rsidRPr="00C1515E">
              <w:t xml:space="preserve">b) Betrag eines jeden Zahlungsvorgangs; </w:t>
            </w:r>
          </w:p>
          <w:p w14:paraId="21591914" w14:textId="6B06649D" w:rsidR="00C1515E" w:rsidRPr="00C1515E" w:rsidRDefault="00C1515E" w:rsidP="002A158B">
            <w:pPr>
              <w:pStyle w:val="TabelleText"/>
              <w:spacing w:before="240"/>
            </w:pPr>
            <w:r w:rsidRPr="00C1515E">
              <w:t>c) bekannte Betrugsszenarien bei der Erbringung von Zahlungsdienstleistungen;</w:t>
            </w:r>
          </w:p>
          <w:p w14:paraId="26DA7C3C" w14:textId="26DCD939" w:rsidR="00C1515E" w:rsidRPr="00C1515E" w:rsidRDefault="00C1515E" w:rsidP="002A158B">
            <w:pPr>
              <w:pStyle w:val="TabelleText"/>
              <w:spacing w:before="240"/>
            </w:pPr>
            <w:r w:rsidRPr="00C1515E">
              <w:t xml:space="preserve">d) Anzeichen für eine Malware-Infektion bei einer Sitzung während des Authentifizierungsverfahrens; </w:t>
            </w:r>
          </w:p>
          <w:p w14:paraId="597E9AA4" w14:textId="3FC508D8" w:rsidR="00C1515E" w:rsidRPr="00C1515E" w:rsidRDefault="00C1515E" w:rsidP="002A158B">
            <w:pPr>
              <w:pStyle w:val="TabelleText"/>
              <w:spacing w:before="240"/>
            </w:pPr>
            <w:r w:rsidRPr="00C1515E">
              <w:t>e) Falls das Zugangsgerät oder die Zugangssoftware vom Zahlungsdienstleister bereitgestellt wird, ist ein Protokoll über die Nutzung zu führen.</w:t>
            </w:r>
            <w:r w:rsidRPr="00C1515E">
              <w:br/>
              <w:t>Dieses Protokoll betrifft das Zugangsgerät oder die Zugangssoftware, die dem Zahlungsdienstnutzer zur Verfügung gestellt werden.</w:t>
            </w:r>
            <w:r w:rsidRPr="00C1515E">
              <w:br/>
            </w:r>
            <w:r w:rsidRPr="00C1515E">
              <w:lastRenderedPageBreak/>
              <w:t>Es muss außerdem über die ungewöhnliche Nutzung dieses Geräts oder der Software informieren.</w:t>
            </w:r>
          </w:p>
        </w:tc>
        <w:tc>
          <w:tcPr>
            <w:tcW w:w="1362" w:type="pct"/>
            <w:tcBorders>
              <w:top w:val="single" w:sz="2" w:space="0" w:color="272727"/>
              <w:left w:val="nil"/>
              <w:bottom w:val="single" w:sz="2" w:space="0" w:color="272727"/>
              <w:right w:val="single" w:sz="48" w:space="0" w:color="FFFFFF" w:themeColor="background1"/>
            </w:tcBorders>
          </w:tcPr>
          <w:p w14:paraId="4046D8A4" w14:textId="2AD0B327" w:rsidR="00C1515E" w:rsidRPr="00C1515E" w:rsidRDefault="00C1515E" w:rsidP="002A158B">
            <w:pPr>
              <w:pStyle w:val="TabelleText"/>
              <w:spacing w:before="240"/>
            </w:pPr>
            <w:r w:rsidRPr="00C1515E">
              <w:lastRenderedPageBreak/>
              <w:t xml:space="preserve">Die Authentifizierungsverfahren sollten generell Transaktions-überwachungsmechanismen enthalten, die: </w:t>
            </w:r>
          </w:p>
          <w:p w14:paraId="71461F33" w14:textId="58FADBD7" w:rsidR="00C1515E" w:rsidRPr="00C1515E" w:rsidRDefault="00C1515E" w:rsidP="002A158B">
            <w:pPr>
              <w:pStyle w:val="TabelleText"/>
              <w:spacing w:before="240"/>
            </w:pPr>
            <w:r w:rsidRPr="00C1515E">
              <w:t>- Versuche zur Verwendung verlorener, gestohlener oder missbräuchlich verwendeter personalisierter Sicherheitsmerkmale erkennen;</w:t>
            </w:r>
          </w:p>
          <w:p w14:paraId="54096FAF" w14:textId="582D3298" w:rsidR="00C1515E" w:rsidRPr="00C1515E" w:rsidRDefault="00C1515E" w:rsidP="002A158B">
            <w:pPr>
              <w:pStyle w:val="TabelleText"/>
              <w:spacing w:before="240"/>
            </w:pPr>
            <w:r w:rsidRPr="00C1515E">
              <w:t>- Sicherstellen, dass der Zahlungsdienstnutzer der legitime Nutzer ist;</w:t>
            </w:r>
          </w:p>
          <w:p w14:paraId="090E7B9F" w14:textId="77777777" w:rsidR="00C1515E" w:rsidRPr="00C1515E" w:rsidRDefault="00C1515E" w:rsidP="002A158B">
            <w:pPr>
              <w:pStyle w:val="TabelleText"/>
              <w:spacing w:before="240"/>
            </w:pPr>
            <w:r w:rsidRPr="00C1515E">
              <w:t>- die Generierung eines Authentifizierungscodes erfordern.</w:t>
            </w:r>
          </w:p>
          <w:p w14:paraId="68FF6256" w14:textId="77777777" w:rsidR="00C1515E" w:rsidRPr="00C1515E" w:rsidRDefault="00C1515E" w:rsidP="002A158B">
            <w:pPr>
              <w:pStyle w:val="TabelleText"/>
              <w:spacing w:before="240"/>
            </w:pPr>
          </w:p>
        </w:tc>
        <w:tc>
          <w:tcPr>
            <w:tcW w:w="1000" w:type="pct"/>
            <w:tcBorders>
              <w:top w:val="single" w:sz="2" w:space="0" w:color="272727"/>
              <w:left w:val="single" w:sz="48" w:space="0" w:color="FFFFFF" w:themeColor="background1"/>
              <w:bottom w:val="single" w:sz="2" w:space="0" w:color="272727"/>
              <w:right w:val="nil"/>
            </w:tcBorders>
          </w:tcPr>
          <w:p w14:paraId="4A32B50E" w14:textId="2375B629" w:rsidR="00C1515E" w:rsidRPr="00C1515E" w:rsidRDefault="00C1515E" w:rsidP="002A158B">
            <w:pPr>
              <w:pStyle w:val="TabelleText"/>
              <w:spacing w:before="240"/>
            </w:pPr>
            <w:r w:rsidRPr="00C1515E">
              <w:t>Ist sichergestellt, dass die Transaktionsüberwachungsmechanismen alle in Art. 2 Abs. 2 a–e RTS geforderten risikobasierten Faktoren vollständig, systemseitig und wirksam berücksichtigen?</w:t>
            </w:r>
          </w:p>
          <w:p w14:paraId="62017387" w14:textId="75DA184F" w:rsidR="00C1515E" w:rsidRPr="00C1515E" w:rsidRDefault="00C1515E" w:rsidP="002A158B">
            <w:pPr>
              <w:pStyle w:val="TabelleText"/>
              <w:spacing w:before="240"/>
            </w:pPr>
            <w:r w:rsidRPr="00C1515E">
              <w:t>Werden bekannte missbräuchlich verwendete oder gestohlene Authentifizierungselemente zeitnah erfasst, automatisiert in der Transaktionsüberwachung berücksichtigt und führen diese zu risikoadäquaten Maßnahmen (z. B. SKA</w:t>
            </w:r>
            <w:r w:rsidRPr="00C1515E">
              <w:noBreakHyphen/>
              <w:t>Verschärfung oder Transaktionsabbruch)?</w:t>
            </w:r>
          </w:p>
          <w:p w14:paraId="3659C38B" w14:textId="4AE39199" w:rsidR="00C1515E" w:rsidRPr="00C1515E" w:rsidRDefault="00C1515E" w:rsidP="002A158B">
            <w:pPr>
              <w:pStyle w:val="TabelleText"/>
              <w:spacing w:before="240"/>
            </w:pPr>
            <w:r w:rsidRPr="00C1515E">
              <w:t>Sind Transaktionsbeträge und bekannte Betrugsszenarien als zentrale Risikotreiber in den Überwachungs</w:t>
            </w:r>
            <w:r w:rsidRPr="00C1515E">
              <w:noBreakHyphen/>
              <w:t xml:space="preserve"> und Entscheidungslogiken implementiert, </w:t>
            </w:r>
            <w:r w:rsidRPr="00C1515E">
              <w:lastRenderedPageBreak/>
              <w:t>nachvollziehbar begründet und regelmäßig überprüft?</w:t>
            </w:r>
          </w:p>
          <w:p w14:paraId="03700706" w14:textId="77777777" w:rsidR="00C1515E" w:rsidRPr="00C1515E" w:rsidRDefault="00C1515E" w:rsidP="002A158B">
            <w:pPr>
              <w:pStyle w:val="TabelleText"/>
              <w:spacing w:before="240"/>
            </w:pPr>
            <w:r w:rsidRPr="00C1515E">
              <w:t>Werden Anzeichen für Malware</w:t>
            </w:r>
            <w:r w:rsidRPr="00C1515E">
              <w:noBreakHyphen/>
              <w:t>Infektionen während des Authentifizierungsverfahrens technisch erkannt und lösen diese entsprechend definierte sicherheitsrelevante Maßnahmen aus?</w:t>
            </w:r>
          </w:p>
          <w:p w14:paraId="286C7880" w14:textId="6E2D436E" w:rsidR="00C1515E" w:rsidRPr="00C1515E" w:rsidRDefault="00C1515E" w:rsidP="002A158B">
            <w:pPr>
              <w:pStyle w:val="TabelleText"/>
              <w:spacing w:before="240"/>
            </w:pPr>
            <w:r w:rsidRPr="00C1515E">
              <w:t xml:space="preserve">Erfolgt bei vom Zahlungsdienstleister bereitgestellten Zugangsgeräten oder </w:t>
            </w:r>
            <w:r w:rsidRPr="00C1515E">
              <w:noBreakHyphen/>
              <w:t>software eine vollständige, auswertbare Protokollierung der Nutzung, und wird ungewöhnliches Nutzungsverhalten systematisch erkannt, bewertet und weiterverarbeitet?</w:t>
            </w:r>
          </w:p>
        </w:tc>
        <w:tc>
          <w:tcPr>
            <w:tcW w:w="1000" w:type="pct"/>
            <w:tcBorders>
              <w:top w:val="single" w:sz="2" w:space="0" w:color="272727"/>
              <w:left w:val="single" w:sz="48" w:space="0" w:color="FFFFFF" w:themeColor="background1"/>
              <w:bottom w:val="single" w:sz="2" w:space="0" w:color="272727"/>
              <w:right w:val="nil"/>
            </w:tcBorders>
          </w:tcPr>
          <w:p w14:paraId="74DEB3C3" w14:textId="17558103" w:rsidR="00C1515E" w:rsidRPr="00C1515E" w:rsidRDefault="00C1515E" w:rsidP="002A158B">
            <w:pPr>
              <w:pStyle w:val="TabelleText"/>
              <w:spacing w:before="240"/>
            </w:pPr>
            <w:r w:rsidRPr="00C1515E">
              <w:lastRenderedPageBreak/>
              <w:t>Ist vertraglich eindeutig geregelt, welche Anforderungen aus Art. 2 Abs. 2 RTS durch den Dienstleister erfüllt werden und welche beim Institut verbleiben?</w:t>
            </w:r>
          </w:p>
          <w:p w14:paraId="77753C65" w14:textId="018627DE" w:rsidR="00C1515E" w:rsidRPr="00C1515E" w:rsidRDefault="00C1515E" w:rsidP="002A158B">
            <w:pPr>
              <w:pStyle w:val="TabelleText"/>
              <w:spacing w:before="240"/>
            </w:pPr>
            <w:r w:rsidRPr="00C1515E">
              <w:t>Ist sichergestellt, dass das Institut jederzeit die fachliche Verantwortung und Entscheidungsbefugnis über Transaktionsüberwachungsregeln, Schwellenwerte und Eskalationslogiken behält (keine Black</w:t>
            </w:r>
            <w:r w:rsidRPr="00C1515E">
              <w:noBreakHyphen/>
              <w:t>Box</w:t>
            </w:r>
            <w:r w:rsidRPr="00C1515E">
              <w:noBreakHyphen/>
              <w:t>Steuerung)?</w:t>
            </w:r>
          </w:p>
          <w:p w14:paraId="6457989F" w14:textId="679AF051" w:rsidR="00C1515E" w:rsidRPr="00C1515E" w:rsidRDefault="00C1515E" w:rsidP="002A158B">
            <w:pPr>
              <w:pStyle w:val="TabelleText"/>
              <w:spacing w:before="240"/>
            </w:pPr>
            <w:r w:rsidRPr="00C1515E">
              <w:t>Existiert eine dokumentierte Rollen</w:t>
            </w:r>
            <w:r w:rsidRPr="00C1515E">
              <w:noBreakHyphen/>
              <w:t xml:space="preserve"> und Verantwortungsmatrix (RACI) für Fraud</w:t>
            </w:r>
            <w:r w:rsidRPr="00C1515E">
              <w:noBreakHyphen/>
              <w:t>Überwachung, SKA</w:t>
            </w:r>
            <w:r w:rsidRPr="00C1515E">
              <w:noBreakHyphen/>
              <w:t>Entscheidungen und Incident</w:t>
            </w:r>
            <w:r w:rsidRPr="00C1515E">
              <w:noBreakHyphen/>
              <w:t>Handling?</w:t>
            </w:r>
          </w:p>
        </w:tc>
      </w:tr>
      <w:tr w:rsidR="002A158B" w:rsidRPr="00201374" w14:paraId="422B2008" w14:textId="77777777" w:rsidTr="002A158B">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69E2F057" w14:textId="09E6AE7B" w:rsidR="002A158B" w:rsidRPr="002A158B" w:rsidRDefault="002A158B" w:rsidP="002A158B">
            <w:pPr>
              <w:pStyle w:val="TabelleText"/>
              <w:spacing w:before="240"/>
              <w:rPr>
                <w:b/>
                <w:bCs/>
              </w:rPr>
            </w:pPr>
            <w:r w:rsidRPr="002A158B">
              <w:rPr>
                <w:b/>
                <w:bCs/>
              </w:rPr>
              <w:t>Artikel 3 - Überprüfung der Sicherheitsmaßnahmen</w:t>
            </w:r>
          </w:p>
        </w:tc>
      </w:tr>
      <w:tr w:rsidR="00C1515E" w:rsidRPr="00201374" w14:paraId="549D1D19"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751BD625" w14:textId="77777777" w:rsidR="00C1515E" w:rsidRPr="00C1515E" w:rsidRDefault="00C1515E" w:rsidP="002A158B">
            <w:pPr>
              <w:pStyle w:val="TabelleText"/>
              <w:spacing w:before="240"/>
            </w:pPr>
            <w:r w:rsidRPr="00C1515E">
              <w:t>(1)</w:t>
            </w:r>
          </w:p>
          <w:p w14:paraId="07220ED9" w14:textId="77777777" w:rsidR="00C1515E" w:rsidRPr="00C1515E" w:rsidRDefault="00C1515E" w:rsidP="002A158B">
            <w:pPr>
              <w:pStyle w:val="TabelleText"/>
              <w:spacing w:before="240"/>
            </w:pPr>
          </w:p>
        </w:tc>
        <w:tc>
          <w:tcPr>
            <w:tcW w:w="1532" w:type="pct"/>
            <w:tcBorders>
              <w:top w:val="single" w:sz="2" w:space="0" w:color="272727"/>
              <w:left w:val="nil"/>
              <w:bottom w:val="single" w:sz="2" w:space="0" w:color="272727"/>
              <w:right w:val="single" w:sz="48" w:space="0" w:color="FFFFFF" w:themeColor="background1"/>
            </w:tcBorders>
          </w:tcPr>
          <w:p w14:paraId="6E1C95D3" w14:textId="73409D05" w:rsidR="00C1515E" w:rsidRPr="00C1515E" w:rsidRDefault="00C1515E" w:rsidP="002A158B">
            <w:pPr>
              <w:pStyle w:val="TabelleText"/>
              <w:spacing w:before="240"/>
            </w:pPr>
            <w:r w:rsidRPr="00C1515E">
              <w:t xml:space="preserve">Die Umsetzung der in Art. 1 genannten Sicherheitsmaßnahmen wird dokumentiert, regelmäßig getestet, bewertet und von Prüfern mit Fachwissen auf dem Gebiet der IT-Sicherheit und des Zahlungsverkehrs, die innerhalb des Zahlungsdienstleisters oder von diesem operativ unabhängig sind, gemäß dem </w:t>
            </w:r>
            <w:r w:rsidRPr="00C1515E">
              <w:lastRenderedPageBreak/>
              <w:t>geltenden Rechtsrahmen des Zahlungsdienstleisters geprüft.</w:t>
            </w:r>
          </w:p>
        </w:tc>
        <w:tc>
          <w:tcPr>
            <w:tcW w:w="1362" w:type="pct"/>
            <w:tcBorders>
              <w:top w:val="single" w:sz="2" w:space="0" w:color="272727"/>
              <w:left w:val="nil"/>
              <w:bottom w:val="single" w:sz="2" w:space="0" w:color="272727"/>
              <w:right w:val="single" w:sz="48" w:space="0" w:color="FFFFFF" w:themeColor="background1"/>
            </w:tcBorders>
          </w:tcPr>
          <w:p w14:paraId="46D2F096" w14:textId="5AAE3C34" w:rsidR="00C1515E" w:rsidRPr="00C1515E" w:rsidRDefault="00C1515E" w:rsidP="002A158B">
            <w:pPr>
              <w:pStyle w:val="TabelleText"/>
              <w:spacing w:before="240"/>
            </w:pPr>
            <w:r w:rsidRPr="00C1515E">
              <w:lastRenderedPageBreak/>
              <w:t>Bezug auf die in Art. 1 genannten Themen.</w:t>
            </w:r>
          </w:p>
          <w:p w14:paraId="59ACA853" w14:textId="10D4B05F" w:rsidR="00C1515E" w:rsidRPr="00C1515E" w:rsidRDefault="00C1515E" w:rsidP="002A158B">
            <w:pPr>
              <w:pStyle w:val="TabelleText"/>
              <w:spacing w:before="240"/>
            </w:pPr>
            <w:r w:rsidRPr="00C1515E">
              <w:t>Bei Nutzung der Ausnahmen nach Art. 18 existieren besondere Prüfpflichten im Hinblick auf Methodik, Modell und Betrugsraten.</w:t>
            </w:r>
          </w:p>
        </w:tc>
        <w:tc>
          <w:tcPr>
            <w:tcW w:w="1000" w:type="pct"/>
            <w:tcBorders>
              <w:top w:val="single" w:sz="2" w:space="0" w:color="272727"/>
              <w:left w:val="single" w:sz="48" w:space="0" w:color="FFFFFF" w:themeColor="background1"/>
              <w:bottom w:val="single" w:sz="2" w:space="0" w:color="272727"/>
              <w:right w:val="nil"/>
            </w:tcBorders>
          </w:tcPr>
          <w:p w14:paraId="4FC26EEA" w14:textId="354E4A40" w:rsidR="00C1515E" w:rsidRPr="00C1515E" w:rsidRDefault="00C1515E" w:rsidP="002A158B">
            <w:pPr>
              <w:pStyle w:val="TabelleText"/>
              <w:spacing w:before="240"/>
            </w:pPr>
            <w:r w:rsidRPr="00C1515E">
              <w:t>Es besteht eine Prüfungspflicht für Payment Service Provider (PSP) für Sicherheitsmaßnahmen lt. RTS Art. 1 a-d durch Prüfer mit Fach- und IT-Wissen.</w:t>
            </w:r>
          </w:p>
        </w:tc>
        <w:tc>
          <w:tcPr>
            <w:tcW w:w="1000" w:type="pct"/>
            <w:tcBorders>
              <w:top w:val="single" w:sz="2" w:space="0" w:color="272727"/>
              <w:left w:val="single" w:sz="48" w:space="0" w:color="FFFFFF" w:themeColor="background1"/>
              <w:bottom w:val="single" w:sz="2" w:space="0" w:color="272727"/>
              <w:right w:val="nil"/>
            </w:tcBorders>
          </w:tcPr>
          <w:p w14:paraId="710DBFCF" w14:textId="0A1A4FB0" w:rsidR="00C1515E" w:rsidRPr="00C1515E" w:rsidRDefault="00C1515E" w:rsidP="002A158B">
            <w:pPr>
              <w:pStyle w:val="TabelleText"/>
              <w:spacing w:before="240"/>
            </w:pPr>
            <w:r w:rsidRPr="00C1515E">
              <w:t>Wie erfolgen hier die Prüfungshandlungen?</w:t>
            </w:r>
          </w:p>
          <w:p w14:paraId="691CBD69" w14:textId="2E6FBCC0" w:rsidR="00C1515E" w:rsidRPr="00C1515E" w:rsidRDefault="00C1515E" w:rsidP="002A158B">
            <w:pPr>
              <w:pStyle w:val="TabelleText"/>
              <w:spacing w:before="240"/>
            </w:pPr>
            <w:r w:rsidRPr="00C1515E">
              <w:t>Werden die jährlichen Prüfpflichten eingehalten?</w:t>
            </w:r>
          </w:p>
          <w:p w14:paraId="78109595" w14:textId="0FA8D2DE" w:rsidR="00C1515E" w:rsidRPr="00C1515E" w:rsidRDefault="00C1515E" w:rsidP="002A158B">
            <w:pPr>
              <w:pStyle w:val="TabelleText"/>
              <w:spacing w:before="240"/>
            </w:pPr>
            <w:r w:rsidRPr="00C1515E">
              <w:lastRenderedPageBreak/>
              <w:t>Gibt es einen Prüfbericht und deckt der Prüfungsbericht alle relevanten RTS-Regelungen ab?</w:t>
            </w:r>
          </w:p>
          <w:p w14:paraId="7125DD06" w14:textId="62FCDBE9" w:rsidR="00C1515E" w:rsidRPr="00C1515E" w:rsidRDefault="00C1515E" w:rsidP="002A158B">
            <w:pPr>
              <w:pStyle w:val="TabelleText"/>
              <w:spacing w:before="240"/>
            </w:pPr>
            <w:r w:rsidRPr="00C1515E">
              <w:t>Ist mit dem Wirtschaftsprüfer des Zahlungsdienstleisters vertraglich die Prüfung der RTS lt. Art. 3 vereinbart?</w:t>
            </w:r>
          </w:p>
        </w:tc>
      </w:tr>
      <w:tr w:rsidR="00C1515E" w:rsidRPr="00201374" w14:paraId="6AFAEC3B"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4FEAF511" w14:textId="77777777" w:rsidR="00C1515E" w:rsidRPr="00C1515E" w:rsidRDefault="00C1515E" w:rsidP="002A158B">
            <w:pPr>
              <w:pStyle w:val="TabelleText"/>
              <w:spacing w:before="240"/>
            </w:pPr>
            <w:r w:rsidRPr="00C1515E">
              <w:lastRenderedPageBreak/>
              <w:t>(2)</w:t>
            </w:r>
          </w:p>
          <w:p w14:paraId="615BF932" w14:textId="77777777" w:rsidR="00C1515E" w:rsidRPr="00C1515E" w:rsidRDefault="00C1515E" w:rsidP="002A158B">
            <w:pPr>
              <w:pStyle w:val="TabelleText"/>
              <w:spacing w:before="240"/>
            </w:pPr>
          </w:p>
        </w:tc>
        <w:tc>
          <w:tcPr>
            <w:tcW w:w="1532" w:type="pct"/>
            <w:tcBorders>
              <w:top w:val="single" w:sz="2" w:space="0" w:color="272727"/>
              <w:left w:val="nil"/>
              <w:bottom w:val="single" w:sz="2" w:space="0" w:color="272727"/>
              <w:right w:val="single" w:sz="48" w:space="0" w:color="FFFFFF" w:themeColor="background1"/>
            </w:tcBorders>
          </w:tcPr>
          <w:p w14:paraId="3AD3E8C3" w14:textId="7BED4D0E" w:rsidR="00C1515E" w:rsidRPr="00C1515E" w:rsidRDefault="00C1515E" w:rsidP="002A158B">
            <w:pPr>
              <w:pStyle w:val="TabelleText"/>
              <w:spacing w:before="240"/>
            </w:pPr>
            <w:r w:rsidRPr="00C1515E">
              <w:t xml:space="preserve">Die Zeiträume zwischen den nach Abs. 1 durchzuführenden Prüfungen werden gemäß dem für den Zahlungsdienstleister geltenden maßgeblichen Rechnungslegungs- und Abschlussprüfungsrahmenwerk festgelegt. </w:t>
            </w:r>
          </w:p>
          <w:p w14:paraId="3D74BCCD" w14:textId="5980BE38" w:rsidR="00C1515E" w:rsidRPr="00C1515E" w:rsidRDefault="00C1515E" w:rsidP="002A158B">
            <w:pPr>
              <w:pStyle w:val="TabelleText"/>
              <w:spacing w:before="240"/>
            </w:pPr>
            <w:r w:rsidRPr="00C1515E">
              <w:t>Für Zahlungsdienstleister, die die Ausnahme nach Art. 18 in Anspruch nehmen, wird mindestens einmal jährlich eine Prüfung der Methodik, des Modells und der gemeldeten Betrugsraten durchgeführt. Der diese Prüfung vornehmende Prüfer verfügt über Fachwissen auf dem Gebiet der IT-Sicherheit und des Zahlungsverkehrs und ist innerhalb des Zahlungsdienstleisters oder von diesem operativ unabhängig. Diese Prüfung wird im ersten Jahr der Inanspruchnahme der Ausnahme nach Art. 18 sowie im Anschluss daran mindestens alle drei Jahre — oder auf Verlangen der zuständigen Behörde häufiger — von einem unabhängigen, qualifizierten externen Prüfer durchgeführt.</w:t>
            </w:r>
          </w:p>
        </w:tc>
        <w:tc>
          <w:tcPr>
            <w:tcW w:w="1362" w:type="pct"/>
            <w:tcBorders>
              <w:top w:val="single" w:sz="2" w:space="0" w:color="272727"/>
              <w:left w:val="nil"/>
              <w:bottom w:val="single" w:sz="2" w:space="0" w:color="272727"/>
              <w:right w:val="single" w:sz="48" w:space="0" w:color="FFFFFF" w:themeColor="background1"/>
            </w:tcBorders>
          </w:tcPr>
          <w:p w14:paraId="589F6533" w14:textId="5C8B25DA" w:rsidR="00C1515E" w:rsidRPr="00C1515E" w:rsidRDefault="00C1515E" w:rsidP="002A158B">
            <w:pPr>
              <w:pStyle w:val="TabelleText"/>
              <w:spacing w:before="240"/>
            </w:pPr>
            <w:r w:rsidRPr="00C1515E">
              <w:t>Prüfintervalle richten sich nach dem Rechnungslegungs- und Prüfungsrahmen des Zahlungsdienstleisters.</w:t>
            </w:r>
          </w:p>
          <w:p w14:paraId="1E72E739" w14:textId="393C6212" w:rsidR="00C1515E" w:rsidRPr="00C1515E" w:rsidRDefault="00C1515E" w:rsidP="002A158B">
            <w:pPr>
              <w:pStyle w:val="TabelleText"/>
              <w:spacing w:before="240"/>
            </w:pPr>
            <w:r w:rsidRPr="00C1515E">
              <w:t>Bei Nutzung der Ausnahme nach Art. 18: mindestens jährliche Prüfung von Methodik, Modell und Betrugsraten durch einen fachkundigen, operativ unabhängigen Prüfer.</w:t>
            </w:r>
          </w:p>
          <w:p w14:paraId="427BCFED" w14:textId="3B0E581D" w:rsidR="00C1515E" w:rsidRPr="00C1515E" w:rsidRDefault="00C1515E" w:rsidP="002A158B">
            <w:pPr>
              <w:pStyle w:val="TabelleText"/>
              <w:spacing w:before="240"/>
            </w:pPr>
            <w:r w:rsidRPr="00C1515E">
              <w:t>Im ersten Jahr und danach mindestens alle drei Jahre: Prüfung zusätzlich durch einen unabhängigen, qualifizierten externen Prüfer; bei Bedarf häufiger auf Anordnung der Aufsicht.</w:t>
            </w:r>
          </w:p>
        </w:tc>
        <w:tc>
          <w:tcPr>
            <w:tcW w:w="1000" w:type="pct"/>
            <w:tcBorders>
              <w:top w:val="single" w:sz="2" w:space="0" w:color="272727"/>
              <w:left w:val="single" w:sz="48" w:space="0" w:color="FFFFFF" w:themeColor="background1"/>
              <w:bottom w:val="single" w:sz="2" w:space="0" w:color="272727"/>
              <w:right w:val="nil"/>
            </w:tcBorders>
          </w:tcPr>
          <w:p w14:paraId="3B556EE7" w14:textId="664EE67E" w:rsidR="00C1515E" w:rsidRPr="00C1515E" w:rsidRDefault="00C1515E" w:rsidP="002A158B">
            <w:pPr>
              <w:pStyle w:val="TabelleText"/>
              <w:spacing w:before="240"/>
            </w:pPr>
            <w:r w:rsidRPr="00C1515E">
              <w:t>Zeitraum für die Prüfungshandlungen richtet sich nach der Rechnungslegungsperiode (Bilanz) des PSP; i. d. R. jährlich; bei Inanspruchnahme der Ausnahme gem. Art. 18 jährliche Prüfung der Methodik, des Modells und der gemeldeten Betrugsraten.</w:t>
            </w:r>
          </w:p>
          <w:p w14:paraId="22E48D91" w14:textId="30572E59" w:rsidR="00C1515E" w:rsidRPr="00C1515E" w:rsidRDefault="00C1515E" w:rsidP="002A158B">
            <w:pPr>
              <w:pStyle w:val="TabelleText"/>
              <w:spacing w:before="240"/>
            </w:pPr>
            <w:r w:rsidRPr="00C1515E">
              <w:t xml:space="preserve">Bei Nutzung der Ausnahmen nach Art. 18 durch den Zahlungsdienstleister ist im ersten Jahr der Inanspruchnahme sowie im Anschluss alle 3 Jahre eine Prüfung durch einen externen Prüfer (z. B. Wirtschaftsprüfer) erforderlich. </w:t>
            </w:r>
          </w:p>
        </w:tc>
        <w:tc>
          <w:tcPr>
            <w:tcW w:w="1000" w:type="pct"/>
            <w:tcBorders>
              <w:top w:val="single" w:sz="2" w:space="0" w:color="272727"/>
              <w:left w:val="single" w:sz="48" w:space="0" w:color="FFFFFF" w:themeColor="background1"/>
              <w:bottom w:val="single" w:sz="2" w:space="0" w:color="272727"/>
              <w:right w:val="nil"/>
            </w:tcBorders>
          </w:tcPr>
          <w:p w14:paraId="3517BEAE" w14:textId="77777777" w:rsidR="00C1515E" w:rsidRPr="00C1515E" w:rsidRDefault="00C1515E" w:rsidP="002A158B">
            <w:pPr>
              <w:pStyle w:val="TabelleText"/>
              <w:spacing w:before="240"/>
            </w:pPr>
          </w:p>
        </w:tc>
      </w:tr>
      <w:tr w:rsidR="00C1515E" w:rsidRPr="00201374" w14:paraId="1646A764"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459EDBC0" w14:textId="77777777" w:rsidR="00C1515E" w:rsidRPr="00C1515E" w:rsidRDefault="00C1515E" w:rsidP="002A158B">
            <w:pPr>
              <w:pStyle w:val="TabelleText"/>
              <w:spacing w:before="240"/>
            </w:pPr>
            <w:r w:rsidRPr="00C1515E">
              <w:lastRenderedPageBreak/>
              <w:t>(3)</w:t>
            </w:r>
          </w:p>
          <w:p w14:paraId="19860342" w14:textId="77777777" w:rsidR="00C1515E" w:rsidRPr="00C1515E" w:rsidRDefault="00C1515E" w:rsidP="002A158B">
            <w:pPr>
              <w:pStyle w:val="TabelleText"/>
              <w:spacing w:before="240"/>
            </w:pPr>
          </w:p>
        </w:tc>
        <w:tc>
          <w:tcPr>
            <w:tcW w:w="1532" w:type="pct"/>
            <w:tcBorders>
              <w:top w:val="single" w:sz="2" w:space="0" w:color="272727"/>
              <w:left w:val="nil"/>
              <w:bottom w:val="single" w:sz="2" w:space="0" w:color="272727"/>
              <w:right w:val="single" w:sz="48" w:space="0" w:color="FFFFFF" w:themeColor="background1"/>
            </w:tcBorders>
          </w:tcPr>
          <w:p w14:paraId="16EBC0F5" w14:textId="4BA94EAF" w:rsidR="00C1515E" w:rsidRPr="00C1515E" w:rsidRDefault="00C1515E" w:rsidP="002A158B">
            <w:pPr>
              <w:pStyle w:val="TabelleText"/>
              <w:spacing w:before="240"/>
            </w:pPr>
            <w:r w:rsidRPr="00C1515E">
              <w:t xml:space="preserve">Als Ergebnis dieser Prüfung werden eine Bewertung und ein Bericht erstellt, aus denen hervorgeht, ob die Sicherheitsmaßnahmen des Zahlungsdienstleisters die in dieser Verordnung dargelegten Anforderungen erfüllen. </w:t>
            </w:r>
          </w:p>
          <w:p w14:paraId="78FACB7F" w14:textId="4B9B69DE" w:rsidR="00C1515E" w:rsidRPr="00C1515E" w:rsidRDefault="00C1515E" w:rsidP="002A158B">
            <w:pPr>
              <w:pStyle w:val="TabelleText"/>
              <w:spacing w:before="240"/>
            </w:pPr>
            <w:r w:rsidRPr="00C1515E">
              <w:t>Der Gesamtbericht wird den zuständigen Behörden auf Verlangen zur Verfügung gestellt.</w:t>
            </w:r>
          </w:p>
        </w:tc>
        <w:tc>
          <w:tcPr>
            <w:tcW w:w="1362" w:type="pct"/>
            <w:tcBorders>
              <w:top w:val="single" w:sz="2" w:space="0" w:color="272727"/>
              <w:left w:val="nil"/>
              <w:bottom w:val="single" w:sz="2" w:space="0" w:color="272727"/>
              <w:right w:val="single" w:sz="48" w:space="0" w:color="FFFFFF" w:themeColor="background1"/>
            </w:tcBorders>
          </w:tcPr>
          <w:p w14:paraId="485DB19C" w14:textId="406FDBBD" w:rsidR="00C1515E" w:rsidRPr="00C1515E" w:rsidRDefault="00C1515E" w:rsidP="002A158B">
            <w:pPr>
              <w:pStyle w:val="TabelleText"/>
              <w:spacing w:before="240"/>
            </w:pPr>
            <w:r w:rsidRPr="00C1515E">
              <w:t>Anforderungen an die Berichtspflichten</w:t>
            </w:r>
          </w:p>
        </w:tc>
        <w:tc>
          <w:tcPr>
            <w:tcW w:w="1000" w:type="pct"/>
            <w:tcBorders>
              <w:top w:val="single" w:sz="2" w:space="0" w:color="272727"/>
              <w:left w:val="single" w:sz="48" w:space="0" w:color="FFFFFF" w:themeColor="background1"/>
              <w:bottom w:val="single" w:sz="2" w:space="0" w:color="272727"/>
              <w:right w:val="nil"/>
            </w:tcBorders>
          </w:tcPr>
          <w:p w14:paraId="4D738BDB" w14:textId="267B168C" w:rsidR="00C1515E" w:rsidRPr="00C1515E" w:rsidRDefault="00C1515E" w:rsidP="002A158B">
            <w:pPr>
              <w:pStyle w:val="TabelleText"/>
              <w:spacing w:before="240"/>
            </w:pPr>
            <w:r w:rsidRPr="00C1515E">
              <w:t>Pflicht des Zahlungsdienstleisters zur Berichterstellung über Prüfungsergebnisse; muss auf behördliches Verlangen zur Verfügung gestellt werden.</w:t>
            </w:r>
          </w:p>
        </w:tc>
        <w:tc>
          <w:tcPr>
            <w:tcW w:w="1000" w:type="pct"/>
            <w:tcBorders>
              <w:top w:val="single" w:sz="2" w:space="0" w:color="272727"/>
              <w:left w:val="single" w:sz="48" w:space="0" w:color="FFFFFF" w:themeColor="background1"/>
              <w:bottom w:val="single" w:sz="2" w:space="0" w:color="272727"/>
              <w:right w:val="nil"/>
            </w:tcBorders>
          </w:tcPr>
          <w:p w14:paraId="64C936C2" w14:textId="77777777" w:rsidR="00C1515E" w:rsidRPr="00C1515E" w:rsidRDefault="00C1515E" w:rsidP="002A158B">
            <w:pPr>
              <w:pStyle w:val="TabelleText"/>
              <w:spacing w:before="240"/>
            </w:pPr>
          </w:p>
        </w:tc>
      </w:tr>
    </w:tbl>
    <w:p w14:paraId="749D9BE8" w14:textId="630E6857" w:rsidR="004D3781" w:rsidRPr="00201374" w:rsidRDefault="004D3781" w:rsidP="00D41CB8">
      <w:pPr>
        <w:pStyle w:val="berschrift1"/>
      </w:pPr>
      <w:bookmarkStart w:id="6" w:name="_Toc240029081"/>
      <w:bookmarkStart w:id="7" w:name="_Toc240360282"/>
      <w:r w:rsidRPr="00201374">
        <w:lastRenderedPageBreak/>
        <w:t>Sicherheitsmaßnahmen für die Durchführung einer starken Kundenauthentifizierung</w:t>
      </w:r>
      <w:bookmarkEnd w:id="6"/>
      <w:bookmarkEnd w:id="7"/>
      <w:r w:rsidRPr="00201374">
        <w:t xml:space="preserve"> </w:t>
      </w:r>
    </w:p>
    <w:p w14:paraId="3156C667" w14:textId="77777777" w:rsidR="006A0024" w:rsidRPr="00201374" w:rsidRDefault="006A0024" w:rsidP="006A0024">
      <w:pPr>
        <w:rPr>
          <w:rFonts w:cs="Arial"/>
        </w:rPr>
      </w:pPr>
    </w:p>
    <w:tbl>
      <w:tblPr>
        <w:tblStyle w:val="Tabellenraster"/>
        <w:tblW w:w="5000" w:type="pct"/>
        <w:tblCellMar>
          <w:left w:w="0" w:type="dxa"/>
          <w:right w:w="0" w:type="dxa"/>
        </w:tblCellMar>
        <w:tblLook w:val="0620" w:firstRow="1" w:lastRow="0" w:firstColumn="0" w:lastColumn="0" w:noHBand="1" w:noVBand="1"/>
      </w:tblPr>
      <w:tblGrid>
        <w:gridCol w:w="285"/>
        <w:gridCol w:w="4110"/>
        <w:gridCol w:w="3654"/>
        <w:gridCol w:w="2683"/>
        <w:gridCol w:w="2683"/>
      </w:tblGrid>
      <w:tr w:rsidR="0088418E" w:rsidRPr="00201374" w14:paraId="7A6E014F" w14:textId="77777777" w:rsidTr="0088418E">
        <w:trPr>
          <w:trHeight w:val="177"/>
          <w:tblHeader/>
        </w:trPr>
        <w:tc>
          <w:tcPr>
            <w:tcW w:w="1638" w:type="pct"/>
            <w:gridSpan w:val="2"/>
            <w:tcBorders>
              <w:top w:val="single" w:sz="12" w:space="0" w:color="272727"/>
              <w:left w:val="nil"/>
              <w:bottom w:val="single" w:sz="8" w:space="0" w:color="272727"/>
              <w:right w:val="single" w:sz="48" w:space="0" w:color="FFFFFF" w:themeColor="background1"/>
            </w:tcBorders>
          </w:tcPr>
          <w:p w14:paraId="69062FB0" w14:textId="2FBFB459" w:rsidR="0088418E" w:rsidRPr="00201374" w:rsidRDefault="0088418E" w:rsidP="006A533E">
            <w:pPr>
              <w:pStyle w:val="Tabelleberschrift2"/>
              <w:rPr>
                <w:rFonts w:cs="Arial"/>
              </w:rPr>
            </w:pPr>
            <w:r w:rsidRPr="00201374">
              <w:rPr>
                <w:rFonts w:cs="Arial"/>
              </w:rPr>
              <w:t>Artikel</w:t>
            </w:r>
          </w:p>
        </w:tc>
        <w:tc>
          <w:tcPr>
            <w:tcW w:w="1362" w:type="pct"/>
            <w:tcBorders>
              <w:top w:val="single" w:sz="12" w:space="0" w:color="272727"/>
              <w:left w:val="single" w:sz="48" w:space="0" w:color="FFFFFF" w:themeColor="background1"/>
              <w:bottom w:val="single" w:sz="8" w:space="0" w:color="272727"/>
              <w:right w:val="single" w:sz="48" w:space="0" w:color="FFFFFF" w:themeColor="background1"/>
            </w:tcBorders>
          </w:tcPr>
          <w:p w14:paraId="2D605DB6" w14:textId="297B8FAD" w:rsidR="0088418E" w:rsidRPr="00201374" w:rsidRDefault="0088418E" w:rsidP="006A533E">
            <w:pPr>
              <w:pStyle w:val="Tabelleberschrift2"/>
              <w:rPr>
                <w:rFonts w:cs="Arial"/>
              </w:rPr>
            </w:pPr>
            <w:r w:rsidRPr="00201374">
              <w:rPr>
                <w:rFonts w:cs="Arial"/>
              </w:rPr>
              <w:t>Wesentliche Inhalte/ergänzende Erläuterungen</w:t>
            </w:r>
          </w:p>
        </w:tc>
        <w:tc>
          <w:tcPr>
            <w:tcW w:w="1000" w:type="pct"/>
            <w:tcBorders>
              <w:top w:val="single" w:sz="12" w:space="0" w:color="272727"/>
              <w:left w:val="single" w:sz="48" w:space="0" w:color="FFFFFF" w:themeColor="background1"/>
              <w:bottom w:val="single" w:sz="8" w:space="0" w:color="272727"/>
              <w:right w:val="nil"/>
            </w:tcBorders>
          </w:tcPr>
          <w:p w14:paraId="64F7E2BC" w14:textId="795FA5FD" w:rsidR="0088418E" w:rsidRPr="00201374" w:rsidRDefault="0088418E" w:rsidP="006A533E">
            <w:pPr>
              <w:pStyle w:val="Tabelleberschrift2"/>
              <w:rPr>
                <w:rFonts w:cs="Arial"/>
              </w:rPr>
            </w:pPr>
            <w:r w:rsidRPr="00201374">
              <w:rPr>
                <w:rFonts w:cs="Arial"/>
              </w:rPr>
              <w:t>Prüfungsvorschläge und Fragestellungen</w:t>
            </w:r>
          </w:p>
        </w:tc>
        <w:tc>
          <w:tcPr>
            <w:tcW w:w="1000" w:type="pct"/>
            <w:tcBorders>
              <w:top w:val="single" w:sz="12" w:space="0" w:color="272727"/>
              <w:left w:val="single" w:sz="48" w:space="0" w:color="FFFFFF" w:themeColor="background1"/>
              <w:bottom w:val="single" w:sz="8" w:space="0" w:color="272727"/>
              <w:right w:val="nil"/>
            </w:tcBorders>
          </w:tcPr>
          <w:p w14:paraId="14C23B6A" w14:textId="0C363BBE" w:rsidR="0088418E" w:rsidRPr="00201374" w:rsidRDefault="0088418E" w:rsidP="006A533E">
            <w:pPr>
              <w:pStyle w:val="Tabelleberschrift2"/>
              <w:rPr>
                <w:rFonts w:cs="Arial"/>
              </w:rPr>
            </w:pPr>
            <w:r w:rsidRPr="00201374">
              <w:rPr>
                <w:rFonts w:cs="Arial"/>
              </w:rPr>
              <w:t>Prüfung beim Dienstleister bei Outsourcing (</w:t>
            </w:r>
            <w:r w:rsidRPr="00201374">
              <w:rPr>
                <w:rFonts w:cs="Arial"/>
                <w:i/>
                <w:iCs/>
              </w:rPr>
              <w:t>falls relevant</w:t>
            </w:r>
            <w:r w:rsidRPr="00201374">
              <w:rPr>
                <w:rFonts w:cs="Arial"/>
              </w:rPr>
              <w:t>)</w:t>
            </w:r>
          </w:p>
        </w:tc>
      </w:tr>
      <w:tr w:rsidR="004F62DD" w:rsidRPr="00201374" w14:paraId="07E1242B" w14:textId="77777777" w:rsidTr="004F62DD">
        <w:trPr>
          <w:trHeight w:val="321"/>
        </w:trPr>
        <w:tc>
          <w:tcPr>
            <w:tcW w:w="5000" w:type="pct"/>
            <w:gridSpan w:val="5"/>
            <w:tcBorders>
              <w:top w:val="single" w:sz="8" w:space="0" w:color="272727"/>
              <w:left w:val="nil"/>
              <w:bottom w:val="single" w:sz="2" w:space="0" w:color="272727"/>
              <w:right w:val="single" w:sz="48" w:space="0" w:color="FFFFFF" w:themeColor="background1"/>
            </w:tcBorders>
          </w:tcPr>
          <w:p w14:paraId="36497E9D" w14:textId="2561CD37" w:rsidR="004F62DD" w:rsidRPr="002A158B" w:rsidRDefault="004F62DD" w:rsidP="002A158B">
            <w:pPr>
              <w:pStyle w:val="TabelleText"/>
              <w:rPr>
                <w:b/>
                <w:bCs/>
              </w:rPr>
            </w:pPr>
            <w:r w:rsidRPr="002A158B">
              <w:rPr>
                <w:b/>
                <w:bCs/>
              </w:rPr>
              <w:t xml:space="preserve">Artikel 4 – Authentifizierungscode </w:t>
            </w:r>
          </w:p>
          <w:p w14:paraId="2030EDAA" w14:textId="31CCD291" w:rsidR="004F62DD" w:rsidRPr="002A158B" w:rsidRDefault="004F62DD" w:rsidP="002A158B">
            <w:pPr>
              <w:pStyle w:val="TabelleText"/>
            </w:pPr>
            <w:r w:rsidRPr="002A158B">
              <w:t>Hinweise und relevante Links:</w:t>
            </w:r>
          </w:p>
          <w:p w14:paraId="101A4BEE" w14:textId="0F1912C3" w:rsidR="004F62DD" w:rsidRPr="002A158B" w:rsidRDefault="004F62DD" w:rsidP="002A158B">
            <w:pPr>
              <w:pStyle w:val="TabelleText"/>
            </w:pPr>
            <w:r w:rsidRPr="002A158B">
              <w:t xml:space="preserve">Hier ist zu berücksichtigen, dass es sich nicht nur auf die Electronic-Banking Kanäle bezieht, sondern auch auf (digitale) Kartenzahlungen (inkl. POS) </w:t>
            </w:r>
          </w:p>
          <w:p w14:paraId="5BDFB3A3" w14:textId="77777777" w:rsidR="004F62DD" w:rsidRPr="002A158B" w:rsidRDefault="004F62DD" w:rsidP="002A158B">
            <w:pPr>
              <w:pStyle w:val="TabelleText"/>
            </w:pPr>
            <w:r w:rsidRPr="002A158B">
              <w:t xml:space="preserve">Im EBA Rule Book ist das Thema der digitalen Karten beschrieben: </w:t>
            </w:r>
            <w:hyperlink r:id="rId12" w:history="1">
              <w:r w:rsidRPr="002A158B">
                <w:t>https://www.eba.europa.eu/single-rule-book-qa/qna/view/publicId/2021_6141</w:t>
              </w:r>
            </w:hyperlink>
          </w:p>
          <w:p w14:paraId="2FFB6DAD" w14:textId="77777777" w:rsidR="004F62DD" w:rsidRPr="002A158B" w:rsidRDefault="004F62DD" w:rsidP="002A158B">
            <w:pPr>
              <w:pStyle w:val="TabelleText"/>
            </w:pPr>
            <w:r w:rsidRPr="002A158B">
              <w:t>Definition Fernzahlungsvorgang lt. BaFin (</w:t>
            </w:r>
            <w:hyperlink r:id="rId13" w:history="1">
              <w:r w:rsidRPr="002A158B">
                <w:t>BaFin - Fachartikel - Starke Kundenauthentifizierung: Neue Pflicht wirkt sich auf …</w:t>
              </w:r>
            </w:hyperlink>
            <w:r w:rsidRPr="002A158B">
              <w:t xml:space="preserve">): </w:t>
            </w:r>
          </w:p>
          <w:p w14:paraId="3F24F53E" w14:textId="6AACEF58" w:rsidR="004F62DD" w:rsidRPr="002A158B" w:rsidRDefault="004F62DD" w:rsidP="0088418E">
            <w:pPr>
              <w:pStyle w:val="TabelleText"/>
            </w:pPr>
            <w:r w:rsidRPr="002A158B">
              <w:t>Wenn es sich bei der ausgelösten elektronischen Zahlung um einen Fernzahlungsvorgang handelt, z. B. die Beauftragung einer Überweisung im Online-Banking, Mobile-Banking oder die Zahlung mittels Kreditkarte im Internet, ist die Starke Kundenauthentifizierung (SKA) mit einer sogenannten dynamischen Verknüpfung in Bezug auf Empfänger und Betrag zu erweitern.</w:t>
            </w:r>
          </w:p>
        </w:tc>
      </w:tr>
      <w:tr w:rsidR="00C1515E" w:rsidRPr="00201374" w14:paraId="7C0DA999" w14:textId="77777777" w:rsidTr="00C1515E">
        <w:trPr>
          <w:trHeight w:val="173"/>
        </w:trPr>
        <w:tc>
          <w:tcPr>
            <w:tcW w:w="106" w:type="pct"/>
            <w:tcBorders>
              <w:top w:val="single" w:sz="2" w:space="0" w:color="272727"/>
              <w:left w:val="nil"/>
              <w:bottom w:val="single" w:sz="2" w:space="0" w:color="272727"/>
              <w:right w:val="single" w:sz="48" w:space="0" w:color="FFFFFF" w:themeColor="background1"/>
            </w:tcBorders>
          </w:tcPr>
          <w:p w14:paraId="08F3B497" w14:textId="09DDB0E6" w:rsidR="00C1515E" w:rsidRPr="0088418E" w:rsidRDefault="00C1515E" w:rsidP="002A158B">
            <w:pPr>
              <w:rPr>
                <w:rFonts w:cs="Arial"/>
                <w:sz w:val="17"/>
                <w:szCs w:val="17"/>
              </w:rPr>
            </w:pPr>
            <w:r w:rsidRPr="0088418E">
              <w:rPr>
                <w:rFonts w:cs="Arial"/>
                <w:sz w:val="17"/>
                <w:szCs w:val="17"/>
              </w:rPr>
              <w:t>(1)</w:t>
            </w:r>
          </w:p>
        </w:tc>
        <w:tc>
          <w:tcPr>
            <w:tcW w:w="1532" w:type="pct"/>
            <w:tcBorders>
              <w:top w:val="single" w:sz="2" w:space="0" w:color="272727"/>
              <w:left w:val="nil"/>
              <w:bottom w:val="single" w:sz="2" w:space="0" w:color="272727"/>
              <w:right w:val="single" w:sz="48" w:space="0" w:color="FFFFFF" w:themeColor="background1"/>
            </w:tcBorders>
          </w:tcPr>
          <w:p w14:paraId="5E909559" w14:textId="1A067CF4" w:rsidR="00C1515E" w:rsidRPr="002A158B" w:rsidRDefault="00C1515E" w:rsidP="002A158B">
            <w:pPr>
              <w:pStyle w:val="TabelleText"/>
              <w:spacing w:before="300"/>
            </w:pPr>
            <w:r w:rsidRPr="002A158B">
              <w:t xml:space="preserve">Wenn Zahlungsdienstleister gemäß Art. 97 Abs. 1 der Richtlinie (EU) 2015/2366 eine starke Kundenauthentifizierung verlangen, muss die Authentifizierung auf mindestens zwei Elementen der </w:t>
            </w:r>
            <w:r w:rsidRPr="002A158B">
              <w:lastRenderedPageBreak/>
              <w:t>Kategorien Wissen, Besitz und Inhärenz</w:t>
            </w:r>
            <w:r w:rsidRPr="002A158B">
              <w:rPr>
                <w:rStyle w:val="Funotenzeichen"/>
                <w:rFonts w:cs="Arial"/>
              </w:rPr>
              <w:footnoteReference w:id="2"/>
            </w:r>
            <w:r w:rsidRPr="002A158B">
              <w:t xml:space="preserve"> basieren und die Generierung eines Authentifizierungscodes nach sich ziehen. </w:t>
            </w:r>
          </w:p>
          <w:p w14:paraId="63353486" w14:textId="14AA98FD" w:rsidR="00C1515E" w:rsidRPr="002A158B" w:rsidRDefault="00C1515E" w:rsidP="002A158B">
            <w:pPr>
              <w:pStyle w:val="TabelleText"/>
              <w:spacing w:before="300"/>
            </w:pPr>
            <w:r w:rsidRPr="002A158B">
              <w:t>Der Authentifizierungscode wird vom Zahlungsdienstleister nur einmalig akzeptiert, wenn der Zahler diesen Code für den Online-Zugriff auf sein Zahlungskonto, für die Auslösung eines elektronischen Zahlungsvorgangs oder für die Ausführung einer Handlung über einen Fernzugang, die das Risiko eines Betrugs im Zahlungsverkehr oder eines anderen Missbrauchs in sich birgt, verwendet.</w:t>
            </w:r>
          </w:p>
        </w:tc>
        <w:tc>
          <w:tcPr>
            <w:tcW w:w="1362" w:type="pct"/>
            <w:tcBorders>
              <w:top w:val="single" w:sz="2" w:space="0" w:color="272727"/>
              <w:left w:val="nil"/>
              <w:bottom w:val="single" w:sz="2" w:space="0" w:color="272727"/>
              <w:right w:val="single" w:sz="48" w:space="0" w:color="FFFFFF" w:themeColor="background1"/>
            </w:tcBorders>
          </w:tcPr>
          <w:p w14:paraId="53E709B6" w14:textId="05F462ED" w:rsidR="00C1515E" w:rsidRPr="002A158B" w:rsidRDefault="00C1515E" w:rsidP="002A158B">
            <w:pPr>
              <w:pStyle w:val="TabelleText"/>
              <w:spacing w:before="300"/>
            </w:pPr>
            <w:r w:rsidRPr="002A158B">
              <w:lastRenderedPageBreak/>
              <w:t xml:space="preserve">I. R. d. SKA wird ein Authentifizierungscode erstellt, der auf mindestens zwei Elementen basiert. Beide Authentifizierungselemente müssen vom Zahlungsdienstleister kommen und kombiniert sein: </w:t>
            </w:r>
          </w:p>
          <w:p w14:paraId="1860E60C" w14:textId="0B83E01D" w:rsidR="00C1515E" w:rsidRPr="002A158B" w:rsidRDefault="00C1515E" w:rsidP="002A158B">
            <w:pPr>
              <w:pStyle w:val="TabelleText"/>
              <w:spacing w:before="300"/>
            </w:pPr>
            <w:r w:rsidRPr="002A158B">
              <w:t>- Kategorie Wissen (etwas, das nur der Nutzer weiß, bspw. seine Online-Banking Nummer)</w:t>
            </w:r>
          </w:p>
          <w:p w14:paraId="5866151A" w14:textId="7B2E644B" w:rsidR="00C1515E" w:rsidRPr="002A158B" w:rsidRDefault="00C1515E" w:rsidP="002A158B">
            <w:pPr>
              <w:pStyle w:val="TabelleText"/>
              <w:spacing w:before="300"/>
            </w:pPr>
            <w:r w:rsidRPr="002A158B">
              <w:lastRenderedPageBreak/>
              <w:t xml:space="preserve">- Kategorie Besitz (etwas, das nur der Nutzer besitzt z. B. </w:t>
            </w:r>
            <w:r w:rsidR="008B1C27">
              <w:t>Pho</w:t>
            </w:r>
            <w:r w:rsidRPr="002A158B">
              <w:t>toTan, Smartphone mit installierter/aktivierter Mobile-Banking-App),</w:t>
            </w:r>
          </w:p>
          <w:p w14:paraId="5F84874A" w14:textId="5D396CFC" w:rsidR="00C1515E" w:rsidRPr="002A158B" w:rsidRDefault="00C1515E" w:rsidP="002A158B">
            <w:pPr>
              <w:pStyle w:val="TabelleText"/>
              <w:spacing w:before="300"/>
            </w:pPr>
            <w:r w:rsidRPr="002A158B">
              <w:t>- Kategorie Inhärenz (etwas, das der Nutzer ist z. B. Fingerabdruck oder Gesichtserkennung).</w:t>
            </w:r>
          </w:p>
          <w:p w14:paraId="0B2CEDA5" w14:textId="376DF20E" w:rsidR="00C1515E" w:rsidRPr="002A158B" w:rsidRDefault="00C1515E" w:rsidP="002A158B">
            <w:pPr>
              <w:pStyle w:val="TabelleText"/>
              <w:spacing w:before="300"/>
            </w:pPr>
            <w:r w:rsidRPr="002A158B">
              <w:t xml:space="preserve">Ein Authentifizierungscode (z. B. Transaktionsnummer (TAN) oder elektronische Signatur) darf nur einmalig verwendet werden können. </w:t>
            </w:r>
          </w:p>
        </w:tc>
        <w:tc>
          <w:tcPr>
            <w:tcW w:w="1000" w:type="pct"/>
            <w:tcBorders>
              <w:top w:val="single" w:sz="2" w:space="0" w:color="272727"/>
              <w:left w:val="single" w:sz="48" w:space="0" w:color="FFFFFF" w:themeColor="background1"/>
              <w:bottom w:val="single" w:sz="2" w:space="0" w:color="272727"/>
              <w:right w:val="nil"/>
            </w:tcBorders>
          </w:tcPr>
          <w:p w14:paraId="3A84DF81" w14:textId="7F16DF14" w:rsidR="00C1515E" w:rsidRPr="002A158B" w:rsidRDefault="00C1515E" w:rsidP="002A158B">
            <w:pPr>
              <w:pStyle w:val="TabelleText"/>
              <w:spacing w:before="300"/>
            </w:pPr>
            <w:r w:rsidRPr="002A158B">
              <w:lastRenderedPageBreak/>
              <w:t>Prüfung ob für die Authentifizierung im Electronic-Banking sowie bei Kartenservices jeweils mindestens zwei unterschiedliche Elemente aus den Kategorien Wissen (z. B. Passwort, PIN), Besitz (z. B. Smartphone, TAN-Generator) und Inhärenz (z. B. Fingerabdruck, Gesichtserkennung) eingesetzt werden (durch Log-</w:t>
            </w:r>
            <w:r w:rsidRPr="002A158B">
              <w:lastRenderedPageBreak/>
              <w:t>Files, Testtransaktionen oder (technische) Fachkonzepte).</w:t>
            </w:r>
          </w:p>
          <w:p w14:paraId="2524A049" w14:textId="5A07C271" w:rsidR="00C1515E" w:rsidRPr="002A158B" w:rsidRDefault="00C1515E" w:rsidP="002A158B">
            <w:pPr>
              <w:pStyle w:val="TabelleText"/>
              <w:spacing w:before="300"/>
            </w:pPr>
            <w:r w:rsidRPr="002A158B">
              <w:t>Prüfung, dass jeder generierte Authentifizierungscode (z. B. TAN, elektronische Signatur) ausschließlich für eine einzelne Transaktion oder einen einzelnen Authentifizierungsvorgang verwendet und vom System nur einmal akzeptiert wird (durch Testtransaktionen/ Fachkonzepte).</w:t>
            </w:r>
          </w:p>
          <w:p w14:paraId="55A59B2C" w14:textId="3DCA8DA1" w:rsidR="00C1515E" w:rsidRPr="002A158B" w:rsidRDefault="00C1515E" w:rsidP="002A158B">
            <w:pPr>
              <w:pStyle w:val="TabelleText"/>
              <w:spacing w:before="300"/>
            </w:pPr>
            <w:r w:rsidRPr="002A158B">
              <w:t>Sind alle Vorgänge, die einen Missbrauch begünstigen können als TAN</w:t>
            </w:r>
            <w:r w:rsidR="008B1C27">
              <w:t>-</w:t>
            </w:r>
            <w:r w:rsidRPr="002A158B">
              <w:t>pflichtig definiert (z. B. Adressänderungen, Kartenbestellung, Einrichtung von Vollmachten, Geräteaktivierung, Hinterlegung von digitalen Karten im Wallet, etc.)?</w:t>
            </w:r>
          </w:p>
        </w:tc>
        <w:tc>
          <w:tcPr>
            <w:tcW w:w="1000" w:type="pct"/>
            <w:tcBorders>
              <w:top w:val="single" w:sz="2" w:space="0" w:color="272727"/>
              <w:left w:val="single" w:sz="48" w:space="0" w:color="FFFFFF" w:themeColor="background1"/>
              <w:bottom w:val="single" w:sz="2" w:space="0" w:color="272727"/>
              <w:right w:val="nil"/>
            </w:tcBorders>
          </w:tcPr>
          <w:p w14:paraId="72EFB2C9" w14:textId="2B78F2CF" w:rsidR="00C1515E" w:rsidRPr="002A158B" w:rsidRDefault="00C1515E" w:rsidP="002A158B">
            <w:pPr>
              <w:pStyle w:val="TabelleText"/>
              <w:spacing w:before="300"/>
            </w:pPr>
            <w:r w:rsidRPr="002A158B">
              <w:lastRenderedPageBreak/>
              <w:t>Prüfungsergebnisse/-berichte, Handbücher oder technische Funktionsbeschreibungen zu Transaktionsüberwachungsmechanismen anfordern und prüfen.</w:t>
            </w:r>
          </w:p>
          <w:p w14:paraId="4D3EC4B8" w14:textId="70AABA15" w:rsidR="00C1515E" w:rsidRPr="002A158B" w:rsidRDefault="00C1515E" w:rsidP="002A158B">
            <w:pPr>
              <w:pStyle w:val="TabelleText"/>
              <w:spacing w:before="300"/>
            </w:pPr>
            <w:r w:rsidRPr="002A158B">
              <w:t>PSD2-Zertifikate vom Dienstleister sowie dem Geräte- und Softwarehersteller einfordern.</w:t>
            </w:r>
          </w:p>
        </w:tc>
      </w:tr>
      <w:tr w:rsidR="00C1515E" w:rsidRPr="00201374" w14:paraId="08C1A517"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07B16760" w14:textId="77777777" w:rsidR="00C1515E" w:rsidRPr="002A158B" w:rsidRDefault="00C1515E" w:rsidP="002A158B">
            <w:pPr>
              <w:rPr>
                <w:rFonts w:cs="Arial"/>
                <w:sz w:val="17"/>
                <w:szCs w:val="17"/>
              </w:rPr>
            </w:pPr>
            <w:r w:rsidRPr="002A158B">
              <w:rPr>
                <w:rFonts w:cs="Arial"/>
                <w:sz w:val="17"/>
                <w:szCs w:val="17"/>
              </w:rPr>
              <w:lastRenderedPageBreak/>
              <w:t xml:space="preserve">(2) </w:t>
            </w:r>
          </w:p>
          <w:p w14:paraId="72E01ADA" w14:textId="77777777" w:rsidR="00C1515E" w:rsidRPr="002A158B" w:rsidRDefault="00C1515E" w:rsidP="002A158B">
            <w:pPr>
              <w:rPr>
                <w:rFonts w:cs="Arial"/>
                <w:sz w:val="17"/>
                <w:szCs w:val="17"/>
              </w:rPr>
            </w:pPr>
          </w:p>
        </w:tc>
        <w:tc>
          <w:tcPr>
            <w:tcW w:w="1532" w:type="pct"/>
            <w:tcBorders>
              <w:top w:val="single" w:sz="2" w:space="0" w:color="272727"/>
              <w:left w:val="nil"/>
              <w:bottom w:val="single" w:sz="2" w:space="0" w:color="272727"/>
              <w:right w:val="single" w:sz="48" w:space="0" w:color="FFFFFF" w:themeColor="background1"/>
            </w:tcBorders>
          </w:tcPr>
          <w:p w14:paraId="3D022F0D" w14:textId="684A0CD5" w:rsidR="00C1515E" w:rsidRPr="002A158B" w:rsidRDefault="00C1515E" w:rsidP="002A158B">
            <w:pPr>
              <w:pStyle w:val="TabelleText"/>
              <w:spacing w:before="300"/>
            </w:pPr>
            <w:r w:rsidRPr="002A158B">
              <w:t>Für die Zwecke des Abs. 1 ergreifen Zahlungsdienstleister Sicherheitsmaßnahmen, die gewährleisten, dass alle folgenden Anforderungen erfüllt sind:</w:t>
            </w:r>
          </w:p>
          <w:p w14:paraId="329C925F" w14:textId="7BDB275C" w:rsidR="00C1515E" w:rsidRPr="002A158B" w:rsidRDefault="00C1515E" w:rsidP="002A158B">
            <w:pPr>
              <w:pStyle w:val="TabelleText"/>
              <w:spacing w:before="300"/>
            </w:pPr>
            <w:r w:rsidRPr="002A158B">
              <w:t xml:space="preserve">a) Aus der Offenlegung des Authentifizierungscodes können keine Informationen über eines der in Abs. 1 genannten Elemente abgeleitet werden. </w:t>
            </w:r>
          </w:p>
          <w:p w14:paraId="3844D887" w14:textId="2181E86A" w:rsidR="00C1515E" w:rsidRPr="002A158B" w:rsidRDefault="00C1515E" w:rsidP="002A158B">
            <w:pPr>
              <w:pStyle w:val="TabelleText"/>
              <w:spacing w:before="300"/>
            </w:pPr>
            <w:r w:rsidRPr="002A158B">
              <w:t xml:space="preserve">b) Aufgrund der Kenntnis eines zuvor generierten anderen Authentifizierungscodes kann kein neuer Authentifizierungscode generiert werden. </w:t>
            </w:r>
          </w:p>
          <w:p w14:paraId="33303BDB" w14:textId="003CC822" w:rsidR="00C1515E" w:rsidRPr="002A158B" w:rsidRDefault="00C1515E" w:rsidP="002A158B">
            <w:pPr>
              <w:pStyle w:val="TabelleText"/>
              <w:spacing w:before="300"/>
            </w:pPr>
            <w:r w:rsidRPr="002A158B">
              <w:t>c) Der Authentifizierungscode kann nicht gefälscht werden.</w:t>
            </w:r>
          </w:p>
        </w:tc>
        <w:tc>
          <w:tcPr>
            <w:tcW w:w="1362" w:type="pct"/>
            <w:tcBorders>
              <w:top w:val="single" w:sz="2" w:space="0" w:color="272727"/>
              <w:left w:val="nil"/>
              <w:bottom w:val="single" w:sz="2" w:space="0" w:color="272727"/>
              <w:right w:val="single" w:sz="48" w:space="0" w:color="FFFFFF" w:themeColor="background1"/>
            </w:tcBorders>
          </w:tcPr>
          <w:p w14:paraId="5C752257" w14:textId="2927F846" w:rsidR="00C1515E" w:rsidRPr="002A158B" w:rsidRDefault="00C1515E" w:rsidP="002A158B">
            <w:pPr>
              <w:pStyle w:val="TabelleText"/>
              <w:spacing w:before="300"/>
            </w:pPr>
            <w:r w:rsidRPr="002A158B">
              <w:t>Der Zahlungsdienstleister muss sicherstellen, dass Authentifizierungscodes vollständig gegen Nachbildung oder Rekonstruktion geschützt sind.</w:t>
            </w:r>
          </w:p>
        </w:tc>
        <w:tc>
          <w:tcPr>
            <w:tcW w:w="1000" w:type="pct"/>
            <w:tcBorders>
              <w:top w:val="single" w:sz="2" w:space="0" w:color="272727"/>
              <w:left w:val="single" w:sz="48" w:space="0" w:color="FFFFFF" w:themeColor="background1"/>
              <w:bottom w:val="single" w:sz="2" w:space="0" w:color="272727"/>
              <w:right w:val="nil"/>
            </w:tcBorders>
          </w:tcPr>
          <w:p w14:paraId="29E32DA4" w14:textId="76BB61AF" w:rsidR="00C1515E" w:rsidRPr="002A158B" w:rsidRDefault="00C1515E" w:rsidP="002A158B">
            <w:pPr>
              <w:pStyle w:val="TabelleText"/>
              <w:spacing w:before="300"/>
              <w:rPr>
                <w:b/>
                <w:bCs/>
              </w:rPr>
            </w:pPr>
            <w:r w:rsidRPr="002A158B">
              <w:t>Fachkonzept/IT-Konzept und die daraus resultierende technische Umsetzung prüfen.</w:t>
            </w:r>
            <w:r w:rsidRPr="002A158B">
              <w:rPr>
                <w:b/>
                <w:bCs/>
              </w:rPr>
              <w:t xml:space="preserve"> </w:t>
            </w:r>
          </w:p>
          <w:p w14:paraId="14B33F05" w14:textId="63DC9EAE" w:rsidR="00C1515E" w:rsidRPr="002A158B" w:rsidRDefault="00C1515E" w:rsidP="002A158B">
            <w:pPr>
              <w:pStyle w:val="TabelleText"/>
              <w:spacing w:before="300"/>
            </w:pPr>
          </w:p>
        </w:tc>
        <w:tc>
          <w:tcPr>
            <w:tcW w:w="1000" w:type="pct"/>
            <w:tcBorders>
              <w:top w:val="single" w:sz="2" w:space="0" w:color="272727"/>
              <w:left w:val="single" w:sz="48" w:space="0" w:color="FFFFFF" w:themeColor="background1"/>
              <w:bottom w:val="single" w:sz="2" w:space="0" w:color="272727"/>
              <w:right w:val="nil"/>
            </w:tcBorders>
          </w:tcPr>
          <w:p w14:paraId="3B856D5F" w14:textId="0B5AA5C1" w:rsidR="00C1515E" w:rsidRPr="002A158B" w:rsidRDefault="00C1515E" w:rsidP="002A158B">
            <w:pPr>
              <w:pStyle w:val="TabelleText"/>
              <w:spacing w:before="300"/>
            </w:pPr>
          </w:p>
        </w:tc>
      </w:tr>
      <w:tr w:rsidR="00C1515E" w:rsidRPr="00201374" w14:paraId="5A176329"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5FFB89A8" w14:textId="77777777" w:rsidR="00C1515E" w:rsidRPr="002A158B" w:rsidRDefault="00C1515E" w:rsidP="002A158B">
            <w:pPr>
              <w:rPr>
                <w:rFonts w:cs="Arial"/>
                <w:sz w:val="17"/>
                <w:szCs w:val="17"/>
              </w:rPr>
            </w:pPr>
            <w:r w:rsidRPr="002A158B">
              <w:rPr>
                <w:rFonts w:cs="Arial"/>
                <w:sz w:val="17"/>
                <w:szCs w:val="17"/>
              </w:rPr>
              <w:t xml:space="preserve">(3) </w:t>
            </w:r>
          </w:p>
          <w:p w14:paraId="4C640D6D" w14:textId="77777777" w:rsidR="00C1515E" w:rsidRPr="002A158B" w:rsidRDefault="00C1515E" w:rsidP="002A158B">
            <w:pPr>
              <w:rPr>
                <w:rFonts w:cs="Arial"/>
                <w:sz w:val="17"/>
                <w:szCs w:val="17"/>
              </w:rPr>
            </w:pPr>
          </w:p>
        </w:tc>
        <w:tc>
          <w:tcPr>
            <w:tcW w:w="1532" w:type="pct"/>
            <w:tcBorders>
              <w:top w:val="single" w:sz="2" w:space="0" w:color="272727"/>
              <w:left w:val="nil"/>
              <w:bottom w:val="single" w:sz="2" w:space="0" w:color="272727"/>
              <w:right w:val="single" w:sz="48" w:space="0" w:color="FFFFFF" w:themeColor="background1"/>
            </w:tcBorders>
          </w:tcPr>
          <w:p w14:paraId="6ED68BC7" w14:textId="0FBDE4E1" w:rsidR="00C1515E" w:rsidRPr="002A158B" w:rsidRDefault="00C1515E" w:rsidP="002A158B">
            <w:pPr>
              <w:pStyle w:val="TabelleText"/>
              <w:spacing w:before="300"/>
            </w:pPr>
            <w:r w:rsidRPr="002A158B">
              <w:t>Die Zahlungsdienstleister stellen sicher, dass die Authentifizierung durch Generierung eines Authentifizierungscodes alle folgenden Sicherheitsmaßnahmen umfasst:</w:t>
            </w:r>
          </w:p>
          <w:p w14:paraId="704BFC2A" w14:textId="66F35C4C" w:rsidR="00C1515E" w:rsidRPr="002A158B" w:rsidRDefault="00C1515E" w:rsidP="002A158B">
            <w:pPr>
              <w:pStyle w:val="TabelleText"/>
              <w:spacing w:before="300"/>
            </w:pPr>
            <w:r w:rsidRPr="002A158B">
              <w:t xml:space="preserve">a) Wenn bei der Authentifizierung für den Fernzugriff, für elektronische Fernzahlungsvorgänge und für Handlungen über einen Fernzugang, die das Risiko eines Betrugs im Zahlungsverkehr oder eines anderen Missbrauchs in sich bergen, die Generierung eines Authentifizierungscodes für die Zwecke des Abs. 1 fehlgeschlagen ist, darf nicht ermittelt werden </w:t>
            </w:r>
            <w:r w:rsidRPr="002A158B">
              <w:lastRenderedPageBreak/>
              <w:t>können, welches der in jenem Abs. genannten Elemente falsch war.</w:t>
            </w:r>
          </w:p>
          <w:p w14:paraId="13AD6196" w14:textId="2128C300" w:rsidR="00C1515E" w:rsidRPr="002A158B" w:rsidRDefault="00C1515E" w:rsidP="002A158B">
            <w:pPr>
              <w:pStyle w:val="TabelleText"/>
              <w:spacing w:before="300"/>
            </w:pPr>
            <w:r w:rsidRPr="002A158B">
              <w:t>b) Die Anzahl der möglichen aufeinanderfolgenden fehlgeschlagenen Authentifizierungsversuche, nach der die in Art. 97 Abs. 1 der Richtlinie (EU) 2015/2366 aufgeführten Handlungen vorübergehend oder permanent gesperrt werden, darf innerhalb einer bestimmten Zeitspanne nicht mehr als fünf betragen.</w:t>
            </w:r>
          </w:p>
          <w:p w14:paraId="0165A948" w14:textId="33CDA65A" w:rsidR="00C1515E" w:rsidRPr="002A158B" w:rsidRDefault="00C1515E" w:rsidP="002A158B">
            <w:pPr>
              <w:pStyle w:val="TabelleText"/>
              <w:spacing w:before="300"/>
            </w:pPr>
            <w:r w:rsidRPr="002A158B">
              <w:t>c) Die Kommunikationssitzungen sind gegen den Zugriff auf die während der Authentifizierung übertragenen Authentifizierungsdaten und gegen die Manipulation durch Unbefugte entsprechend den Anforderungen in Kapitel V geschützt.</w:t>
            </w:r>
          </w:p>
          <w:p w14:paraId="0E7E3960" w14:textId="43C1BE11" w:rsidR="00C1515E" w:rsidRPr="002A158B" w:rsidRDefault="00C1515E" w:rsidP="002A158B">
            <w:pPr>
              <w:pStyle w:val="TabelleText"/>
              <w:spacing w:before="300"/>
            </w:pPr>
            <w:r w:rsidRPr="002A158B">
              <w:t>d) Die maximale Zeitspanne ohne Aktivität, nachdem der Zahler für den Online-Zugriff auf sein Zahlungskonto authentifiziert wurde, darf nicht mehr als fünf Minuten betragen.</w:t>
            </w:r>
          </w:p>
        </w:tc>
        <w:tc>
          <w:tcPr>
            <w:tcW w:w="1362" w:type="pct"/>
            <w:tcBorders>
              <w:top w:val="single" w:sz="2" w:space="0" w:color="272727"/>
              <w:left w:val="nil"/>
              <w:bottom w:val="single" w:sz="2" w:space="0" w:color="272727"/>
              <w:right w:val="single" w:sz="48" w:space="0" w:color="FFFFFF" w:themeColor="background1"/>
            </w:tcBorders>
          </w:tcPr>
          <w:p w14:paraId="12766648" w14:textId="03025253" w:rsidR="00C1515E" w:rsidRPr="002A158B" w:rsidRDefault="00C1515E" w:rsidP="002A158B">
            <w:pPr>
              <w:pStyle w:val="TabelleText"/>
              <w:spacing w:before="300"/>
            </w:pPr>
            <w:r w:rsidRPr="002A158B">
              <w:lastRenderedPageBreak/>
              <w:t xml:space="preserve">a) Ein allgemeiner Hinweis bei fehlerhafter Authentifizierung ist zulässig (z. B. ungültige Anmeldedaten). Eine spezifische Fehlermeldung (z. B. falsches Passwort) ist nicht zulässig. </w:t>
            </w:r>
          </w:p>
          <w:p w14:paraId="7019B79F" w14:textId="1DF46A60" w:rsidR="00C1515E" w:rsidRPr="002A158B" w:rsidRDefault="00C1515E" w:rsidP="002A158B">
            <w:pPr>
              <w:pStyle w:val="TabelleText"/>
              <w:spacing w:before="300"/>
            </w:pPr>
            <w:r w:rsidRPr="002A158B">
              <w:t>b) Nach maximal fünf fehlerhaften Authentifizierungsvorgängen muss der Electronic-Banking Zugang gesperrt werden.</w:t>
            </w:r>
          </w:p>
          <w:p w14:paraId="77641495" w14:textId="44A1AF21" w:rsidR="00C1515E" w:rsidRPr="002A158B" w:rsidRDefault="00C1515E" w:rsidP="002A158B">
            <w:pPr>
              <w:pStyle w:val="TabelleText"/>
              <w:spacing w:before="300"/>
            </w:pPr>
            <w:r w:rsidRPr="002A158B">
              <w:t>c) Die Übertragung muss in einem gesicherten Umfeld stattfinden.</w:t>
            </w:r>
          </w:p>
          <w:p w14:paraId="55768992" w14:textId="77777777" w:rsidR="00C1515E" w:rsidRPr="002A158B" w:rsidRDefault="00C1515E" w:rsidP="002A158B">
            <w:pPr>
              <w:pStyle w:val="TabelleText"/>
              <w:spacing w:before="300"/>
            </w:pPr>
            <w:r w:rsidRPr="002A158B">
              <w:t xml:space="preserve">d) Der Kunde muss nach fünf </w:t>
            </w:r>
          </w:p>
          <w:p w14:paraId="1B6BD0D3" w14:textId="3F88802E" w:rsidR="00C1515E" w:rsidRPr="002A158B" w:rsidRDefault="00C1515E" w:rsidP="002A158B">
            <w:pPr>
              <w:pStyle w:val="TabelleText"/>
              <w:spacing w:before="300"/>
            </w:pPr>
            <w:r w:rsidRPr="002A158B">
              <w:lastRenderedPageBreak/>
              <w:t>Minuten Inaktivität automatisch aus dem Online-Bezahlvorgang ausgeloggt werden.</w:t>
            </w:r>
          </w:p>
        </w:tc>
        <w:tc>
          <w:tcPr>
            <w:tcW w:w="1000" w:type="pct"/>
            <w:tcBorders>
              <w:top w:val="single" w:sz="2" w:space="0" w:color="272727"/>
              <w:left w:val="single" w:sz="48" w:space="0" w:color="FFFFFF" w:themeColor="background1"/>
              <w:bottom w:val="single" w:sz="2" w:space="0" w:color="272727"/>
              <w:right w:val="nil"/>
            </w:tcBorders>
          </w:tcPr>
          <w:p w14:paraId="3763C3E2" w14:textId="0B1CF1AE" w:rsidR="00C1515E" w:rsidRPr="002A158B" w:rsidRDefault="00C1515E" w:rsidP="002A158B">
            <w:pPr>
              <w:pStyle w:val="TabelleText"/>
              <w:spacing w:before="300"/>
            </w:pPr>
            <w:r w:rsidRPr="002A158B">
              <w:lastRenderedPageBreak/>
              <w:t>a) Prüfung der Fehlermeldungen bei falscher PIN-Eingabe im Electronic-Banking Zugang und bei Kartenzahlungen.</w:t>
            </w:r>
          </w:p>
          <w:p w14:paraId="095E79BD" w14:textId="77777777" w:rsidR="00C1515E" w:rsidRPr="002A158B" w:rsidRDefault="00C1515E" w:rsidP="002A158B">
            <w:pPr>
              <w:pStyle w:val="TabelleText"/>
              <w:spacing w:before="300"/>
            </w:pPr>
            <w:r w:rsidRPr="002A158B">
              <w:t xml:space="preserve">b) Ist hieraus erkennbar, was falsch war? </w:t>
            </w:r>
          </w:p>
          <w:p w14:paraId="7392A609" w14:textId="7070442D" w:rsidR="00C1515E" w:rsidRPr="002A158B" w:rsidRDefault="00C1515E" w:rsidP="002A158B">
            <w:pPr>
              <w:pStyle w:val="TabelleText"/>
              <w:spacing w:before="300"/>
            </w:pPr>
            <w:r w:rsidRPr="002A158B">
              <w:t>Prüfung der Zugangssperre (bspw. über Demo-Zugang) nach fünf fehlerhaften Authentifizierungsversuchen.</w:t>
            </w:r>
          </w:p>
          <w:p w14:paraId="6CDBE319" w14:textId="09C85F0E" w:rsidR="00C1515E" w:rsidRPr="002A158B" w:rsidRDefault="00C1515E" w:rsidP="002A158B">
            <w:pPr>
              <w:pStyle w:val="TabelleText"/>
              <w:spacing w:before="300"/>
            </w:pPr>
            <w:r w:rsidRPr="002A158B">
              <w:lastRenderedPageBreak/>
              <w:t xml:space="preserve">c) Prüfung der technischen Umsetzung; siehe auch Kapitel V Transaktions-Monitoring auch für Log-In, Anfragen, o. ä. </w:t>
            </w:r>
          </w:p>
          <w:p w14:paraId="1236E3EE" w14:textId="4AA42F77" w:rsidR="00C1515E" w:rsidRPr="002A158B" w:rsidRDefault="00C1515E" w:rsidP="002A158B">
            <w:pPr>
              <w:pStyle w:val="TabelleText"/>
              <w:spacing w:before="300"/>
            </w:pPr>
            <w:r w:rsidRPr="002A158B">
              <w:t>d) Prüfung z. B. durch das Einloggen in die Testumgebung für Kartenzahlungen oder Electronic-Banking Kanäle; Ergebnisse/Resultate über Screenshots dokumentieren.</w:t>
            </w:r>
          </w:p>
        </w:tc>
        <w:tc>
          <w:tcPr>
            <w:tcW w:w="1000" w:type="pct"/>
            <w:tcBorders>
              <w:top w:val="single" w:sz="2" w:space="0" w:color="272727"/>
              <w:left w:val="single" w:sz="48" w:space="0" w:color="FFFFFF" w:themeColor="background1"/>
              <w:bottom w:val="single" w:sz="2" w:space="0" w:color="272727"/>
              <w:right w:val="nil"/>
            </w:tcBorders>
          </w:tcPr>
          <w:p w14:paraId="5ED2DA8E" w14:textId="77777777" w:rsidR="00C1515E" w:rsidRPr="002A158B" w:rsidRDefault="00C1515E" w:rsidP="002A158B">
            <w:pPr>
              <w:pStyle w:val="TabelleText"/>
              <w:spacing w:before="300"/>
            </w:pPr>
          </w:p>
        </w:tc>
      </w:tr>
      <w:tr w:rsidR="00C1515E" w:rsidRPr="00201374" w14:paraId="5BC784BC"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551AFF62" w14:textId="6E1FC998" w:rsidR="00C1515E" w:rsidRPr="002A158B" w:rsidRDefault="00C1515E" w:rsidP="002A158B">
            <w:pPr>
              <w:rPr>
                <w:rFonts w:cs="Arial"/>
                <w:sz w:val="17"/>
                <w:szCs w:val="17"/>
              </w:rPr>
            </w:pPr>
            <w:r w:rsidRPr="002A158B">
              <w:rPr>
                <w:rFonts w:cs="Arial"/>
                <w:sz w:val="17"/>
                <w:szCs w:val="17"/>
              </w:rPr>
              <w:t>(4)</w:t>
            </w:r>
          </w:p>
        </w:tc>
        <w:tc>
          <w:tcPr>
            <w:tcW w:w="1532" w:type="pct"/>
            <w:tcBorders>
              <w:top w:val="single" w:sz="2" w:space="0" w:color="272727"/>
              <w:left w:val="nil"/>
              <w:bottom w:val="single" w:sz="2" w:space="0" w:color="272727"/>
              <w:right w:val="single" w:sz="48" w:space="0" w:color="FFFFFF" w:themeColor="background1"/>
            </w:tcBorders>
          </w:tcPr>
          <w:p w14:paraId="45E194E5" w14:textId="73738BE1" w:rsidR="00C1515E" w:rsidRPr="002A158B" w:rsidRDefault="00C1515E" w:rsidP="002A158B">
            <w:pPr>
              <w:pStyle w:val="TabelleText"/>
              <w:spacing w:before="300"/>
            </w:pPr>
            <w:r w:rsidRPr="002A158B">
              <w:t>Wenn die Sperrung nach Abs. 3 Buchstabe b vorübergehend ist, werden die Dauer dieser Sperrung und die Anzahl der erneuten Versuche auf Grundlage der Merkmale des dem Zahler bereitgestellten Dienstes sowie aller damit verbundenen relevanten Risiken festgelegt, wobei mindestens die in Art. 2 Abs. 2 genannten Faktoren zu berücksichtigen sind.</w:t>
            </w:r>
          </w:p>
          <w:p w14:paraId="521BBEBF" w14:textId="32CA37FE" w:rsidR="00C1515E" w:rsidRPr="002A158B" w:rsidRDefault="00C1515E" w:rsidP="002A158B">
            <w:pPr>
              <w:pStyle w:val="TabelleText"/>
              <w:spacing w:before="300"/>
            </w:pPr>
            <w:r w:rsidRPr="002A158B">
              <w:lastRenderedPageBreak/>
              <w:t xml:space="preserve">Der Zahler erhält eine Warnung, bevor die Sperrung dauerhaft wird. </w:t>
            </w:r>
          </w:p>
          <w:p w14:paraId="2B311F45" w14:textId="3270C48A" w:rsidR="00C1515E" w:rsidRPr="002A158B" w:rsidRDefault="00C1515E" w:rsidP="002A158B">
            <w:pPr>
              <w:pStyle w:val="TabelleText"/>
              <w:spacing w:before="300"/>
            </w:pPr>
            <w:r w:rsidRPr="002A158B">
              <w:t>Bei einer dauerhaften Sperrung wird ein sicheres Verfahren eingerichtet, das es dem Zahler ermöglicht, die Nutzung der gesperrten elektronischen Zahlungsinstrumente wiederzuerlangen.</w:t>
            </w:r>
          </w:p>
        </w:tc>
        <w:tc>
          <w:tcPr>
            <w:tcW w:w="1362" w:type="pct"/>
            <w:tcBorders>
              <w:top w:val="single" w:sz="2" w:space="0" w:color="272727"/>
              <w:left w:val="nil"/>
              <w:bottom w:val="single" w:sz="2" w:space="0" w:color="272727"/>
              <w:right w:val="single" w:sz="48" w:space="0" w:color="FFFFFF" w:themeColor="background1"/>
            </w:tcBorders>
          </w:tcPr>
          <w:p w14:paraId="16895E54" w14:textId="36BAAC4D" w:rsidR="00C1515E" w:rsidRPr="002A158B" w:rsidRDefault="00C1515E" w:rsidP="002A158B">
            <w:pPr>
              <w:pStyle w:val="TabelleText"/>
              <w:spacing w:before="300"/>
            </w:pPr>
            <w:r w:rsidRPr="002A158B">
              <w:lastRenderedPageBreak/>
              <w:t>Der Zahlungsdienstleister muss klare Prozesse zur Sperrung, Entsperrung und Wiederaufnahme der Nutzung vorhalten.</w:t>
            </w:r>
          </w:p>
        </w:tc>
        <w:tc>
          <w:tcPr>
            <w:tcW w:w="1000" w:type="pct"/>
            <w:tcBorders>
              <w:top w:val="single" w:sz="2" w:space="0" w:color="272727"/>
              <w:left w:val="single" w:sz="48" w:space="0" w:color="FFFFFF" w:themeColor="background1"/>
              <w:bottom w:val="single" w:sz="2" w:space="0" w:color="272727"/>
              <w:right w:val="nil"/>
            </w:tcBorders>
          </w:tcPr>
          <w:p w14:paraId="010580B6" w14:textId="0022630A" w:rsidR="00C1515E" w:rsidRPr="002A158B" w:rsidRDefault="00C1515E" w:rsidP="002A158B">
            <w:pPr>
              <w:pStyle w:val="TabelleText"/>
              <w:spacing w:before="300"/>
            </w:pPr>
            <w:r w:rsidRPr="002A158B">
              <w:t>Wie erfolgt die Sperre des Zugangs (dauerhaft oder vorübergehend)?</w:t>
            </w:r>
          </w:p>
          <w:p w14:paraId="447C0D60" w14:textId="08F4093D" w:rsidR="00C1515E" w:rsidRPr="002A158B" w:rsidRDefault="00C1515E" w:rsidP="002A158B">
            <w:pPr>
              <w:pStyle w:val="TabelleText"/>
              <w:spacing w:before="300"/>
            </w:pPr>
            <w:r w:rsidRPr="002A158B">
              <w:t xml:space="preserve">Gibt es bei vorübergehenden Sperrungen ein risikoorientiertes Vorgehen? </w:t>
            </w:r>
          </w:p>
          <w:p w14:paraId="0C226899" w14:textId="15132A6D" w:rsidR="00C1515E" w:rsidRPr="002A158B" w:rsidRDefault="00C1515E" w:rsidP="002A158B">
            <w:pPr>
              <w:pStyle w:val="TabelleText"/>
              <w:spacing w:before="300"/>
            </w:pPr>
            <w:r w:rsidRPr="002A158B">
              <w:lastRenderedPageBreak/>
              <w:t>Wird dies ggf. auch in der Transaktionsrisikoanalyse berücksichtigt?</w:t>
            </w:r>
          </w:p>
          <w:p w14:paraId="2EF48233" w14:textId="1F13628B" w:rsidR="00C1515E" w:rsidRPr="002A158B" w:rsidRDefault="00C1515E" w:rsidP="002A158B">
            <w:pPr>
              <w:pStyle w:val="TabelleText"/>
              <w:spacing w:before="300"/>
            </w:pPr>
            <w:r w:rsidRPr="002A158B">
              <w:t xml:space="preserve">Wie kann der Kunde bei dauerhafter Sperre wieder Zugang zu seinem Electronic-Banking erhalten? </w:t>
            </w:r>
          </w:p>
        </w:tc>
        <w:tc>
          <w:tcPr>
            <w:tcW w:w="1000" w:type="pct"/>
            <w:tcBorders>
              <w:top w:val="single" w:sz="2" w:space="0" w:color="272727"/>
              <w:left w:val="single" w:sz="48" w:space="0" w:color="FFFFFF" w:themeColor="background1"/>
              <w:bottom w:val="single" w:sz="2" w:space="0" w:color="272727"/>
              <w:right w:val="nil"/>
            </w:tcBorders>
          </w:tcPr>
          <w:p w14:paraId="7533B584" w14:textId="77777777" w:rsidR="00C1515E" w:rsidRPr="002A158B" w:rsidRDefault="00C1515E" w:rsidP="002A158B">
            <w:pPr>
              <w:pStyle w:val="TabelleText"/>
              <w:spacing w:before="300"/>
            </w:pPr>
          </w:p>
        </w:tc>
      </w:tr>
      <w:tr w:rsidR="002A158B" w:rsidRPr="00201374" w14:paraId="5F0BED28" w14:textId="77777777" w:rsidTr="002A158B">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6BC0D082" w14:textId="07C4404D" w:rsidR="002A158B" w:rsidRPr="002A158B" w:rsidRDefault="002A158B" w:rsidP="002A158B">
            <w:pPr>
              <w:pStyle w:val="TabelleText"/>
              <w:spacing w:before="240"/>
              <w:rPr>
                <w:b/>
                <w:bCs/>
              </w:rPr>
            </w:pPr>
            <w:r w:rsidRPr="002A158B">
              <w:rPr>
                <w:b/>
                <w:bCs/>
              </w:rPr>
              <w:t>Artikel 5 - Dynamische Verknüpfung</w:t>
            </w:r>
          </w:p>
        </w:tc>
      </w:tr>
      <w:tr w:rsidR="00C1515E" w:rsidRPr="00201374" w14:paraId="43A22693" w14:textId="77777777" w:rsidTr="00C1515E">
        <w:trPr>
          <w:trHeight w:val="63"/>
        </w:trPr>
        <w:tc>
          <w:tcPr>
            <w:tcW w:w="106" w:type="pct"/>
            <w:tcBorders>
              <w:top w:val="single" w:sz="2" w:space="0" w:color="272727"/>
              <w:left w:val="nil"/>
              <w:bottom w:val="single" w:sz="8" w:space="0" w:color="272727"/>
              <w:right w:val="single" w:sz="48" w:space="0" w:color="FFFFFF" w:themeColor="background1"/>
            </w:tcBorders>
          </w:tcPr>
          <w:p w14:paraId="156395AA" w14:textId="77777777" w:rsidR="00C1515E" w:rsidRPr="002A158B" w:rsidRDefault="00C1515E" w:rsidP="002A158B">
            <w:pPr>
              <w:rPr>
                <w:rFonts w:cs="Arial"/>
                <w:sz w:val="17"/>
                <w:szCs w:val="17"/>
              </w:rPr>
            </w:pPr>
            <w:r w:rsidRPr="002A158B">
              <w:rPr>
                <w:rFonts w:cs="Arial"/>
                <w:sz w:val="17"/>
                <w:szCs w:val="17"/>
              </w:rPr>
              <w:t xml:space="preserve">(1) </w:t>
            </w:r>
          </w:p>
          <w:p w14:paraId="16DC678B" w14:textId="77777777" w:rsidR="00C1515E" w:rsidRPr="00201374" w:rsidRDefault="00C1515E" w:rsidP="002A158B">
            <w:pPr>
              <w:rPr>
                <w:rFonts w:cs="Arial"/>
                <w:b/>
                <w:bCs/>
                <w:sz w:val="20"/>
                <w:szCs w:val="20"/>
              </w:rPr>
            </w:pPr>
          </w:p>
        </w:tc>
        <w:tc>
          <w:tcPr>
            <w:tcW w:w="1532" w:type="pct"/>
            <w:tcBorders>
              <w:top w:val="single" w:sz="2" w:space="0" w:color="272727"/>
              <w:left w:val="nil"/>
              <w:bottom w:val="single" w:sz="8" w:space="0" w:color="272727"/>
              <w:right w:val="single" w:sz="48" w:space="0" w:color="FFFFFF" w:themeColor="background1"/>
            </w:tcBorders>
          </w:tcPr>
          <w:p w14:paraId="689120D6" w14:textId="126A9D43" w:rsidR="00C1515E" w:rsidRPr="002A158B" w:rsidRDefault="00C1515E" w:rsidP="002A158B">
            <w:pPr>
              <w:pStyle w:val="TabelleText"/>
              <w:spacing w:before="300"/>
            </w:pPr>
            <w:r w:rsidRPr="002A158B">
              <w:t>Wenn Zahlungsdienstleister gemäß Art. 97 Abs. 2 der Richtlinie (EU) 2015/2366 eine starke Kundenauthentifizierung verlangen, müssen sie zusätzlich zu den in Art. 4 der vorliegenden Verordnung genannten Auflagen Sicherheitsmaßnahmen ergreifen, die alle folgenden Anforderungen erfüllen:</w:t>
            </w:r>
          </w:p>
          <w:p w14:paraId="46ABC4FD" w14:textId="1F1FC312" w:rsidR="00C1515E" w:rsidRPr="002A158B" w:rsidRDefault="00C1515E" w:rsidP="002A158B">
            <w:pPr>
              <w:pStyle w:val="TabelleText"/>
              <w:spacing w:before="300"/>
            </w:pPr>
            <w:r w:rsidRPr="002A158B">
              <w:t xml:space="preserve">a) Zahlungsbetrag und Zahlungsempfänger werden dem Zahler angezeigt. </w:t>
            </w:r>
          </w:p>
          <w:p w14:paraId="0B996F65" w14:textId="208B5811" w:rsidR="00C1515E" w:rsidRPr="002A158B" w:rsidRDefault="00C1515E" w:rsidP="002A158B">
            <w:pPr>
              <w:pStyle w:val="TabelleText"/>
              <w:spacing w:before="300"/>
            </w:pPr>
            <w:r w:rsidRPr="002A158B">
              <w:lastRenderedPageBreak/>
              <w:t xml:space="preserve">b) Der generierte Authentifizierungscode gilt speziell für den Zahlungsbetrag und den Zahlungsempfänger, denen der Zahler beim Auslösen des Vorgangs zugestimmt hat. </w:t>
            </w:r>
          </w:p>
          <w:p w14:paraId="49A9E4EE" w14:textId="741E8249" w:rsidR="00C1515E" w:rsidRPr="002A158B" w:rsidRDefault="00C1515E" w:rsidP="002A158B">
            <w:pPr>
              <w:pStyle w:val="TabelleText"/>
              <w:spacing w:before="300"/>
            </w:pPr>
            <w:r w:rsidRPr="002A158B">
              <w:t xml:space="preserve">c) Der vom Zahlungsdienstleister akzeptierte Authentifizierungscode entspricht dem ursprünglichen spezifischen Zahlungsbetrag und der Identität des Zahlungsempfängers, denen der Zahler zugestimmt hat. </w:t>
            </w:r>
          </w:p>
          <w:p w14:paraId="2BEA9E79" w14:textId="15C05FCC" w:rsidR="00C1515E" w:rsidRPr="002A158B" w:rsidRDefault="00C1515E" w:rsidP="002A158B">
            <w:pPr>
              <w:pStyle w:val="TabelleText"/>
              <w:spacing w:before="300"/>
            </w:pPr>
            <w:r w:rsidRPr="002A158B">
              <w:t>d) Jede Änderung beim Betrag oder Zahlungsempfänger zieht die Ungültigkeit des generierten Authentifizierungscodes nach sich.</w:t>
            </w:r>
          </w:p>
        </w:tc>
        <w:tc>
          <w:tcPr>
            <w:tcW w:w="1362" w:type="pct"/>
            <w:tcBorders>
              <w:top w:val="single" w:sz="2" w:space="0" w:color="272727"/>
              <w:left w:val="nil"/>
              <w:bottom w:val="single" w:sz="8" w:space="0" w:color="272727"/>
              <w:right w:val="single" w:sz="48" w:space="0" w:color="FFFFFF" w:themeColor="background1"/>
            </w:tcBorders>
          </w:tcPr>
          <w:p w14:paraId="44FBA4FF" w14:textId="4A7ABB8B" w:rsidR="00C1515E" w:rsidRPr="002A158B" w:rsidRDefault="00C1515E" w:rsidP="002A158B">
            <w:pPr>
              <w:pStyle w:val="TabelleText"/>
              <w:spacing w:before="300"/>
            </w:pPr>
            <w:r w:rsidRPr="002A158B">
              <w:lastRenderedPageBreak/>
              <w:t>Die Angaben der Buchstaben a bis d beziehen sich auf (elektronische) Fernzahlungsvorgänge (z. B. Überweisungen im Online-Banking, Mobile-Banking oder die Zahlung mit Kreditkarte im Internet).</w:t>
            </w:r>
          </w:p>
          <w:p w14:paraId="5EED2B67" w14:textId="1CBE4571" w:rsidR="00C1515E" w:rsidRPr="002A158B" w:rsidRDefault="00C1515E" w:rsidP="002A158B">
            <w:pPr>
              <w:pStyle w:val="TabelleText"/>
              <w:spacing w:before="300"/>
            </w:pPr>
            <w:r w:rsidRPr="002A158B">
              <w:t>Zahlungen im Geschäft vor Ort mittels NFC (Near Field Communication oder Login bzw. Kontoabfragen fallen nicht hierunter).</w:t>
            </w:r>
          </w:p>
          <w:p w14:paraId="4BA7087A" w14:textId="77777777" w:rsidR="00C1515E" w:rsidRPr="002A158B" w:rsidRDefault="00C1515E" w:rsidP="002A158B">
            <w:pPr>
              <w:pStyle w:val="TabelleText"/>
              <w:spacing w:before="300"/>
            </w:pPr>
            <w:r w:rsidRPr="002A158B">
              <w:t>Definition der BaFin</w:t>
            </w:r>
            <w:r w:rsidRPr="002A158B">
              <w:rPr>
                <w:rStyle w:val="Funotenzeichen"/>
                <w:rFonts w:cs="Arial"/>
              </w:rPr>
              <w:footnoteReference w:id="3"/>
            </w:r>
            <w:r w:rsidRPr="002A158B">
              <w:t>:</w:t>
            </w:r>
          </w:p>
          <w:p w14:paraId="62CE56B4" w14:textId="61FD0609" w:rsidR="00C1515E" w:rsidRPr="002A158B" w:rsidRDefault="00C1515E" w:rsidP="002A158B">
            <w:pPr>
              <w:pStyle w:val="TabelleText"/>
              <w:spacing w:before="300"/>
            </w:pPr>
            <w:r w:rsidRPr="002A158B">
              <w:rPr>
                <w:rStyle w:val="ui-provider"/>
                <w:rFonts w:cs="Arial"/>
              </w:rPr>
              <w:lastRenderedPageBreak/>
              <w:t>Wenn es sich bei der ausgelösten elektronischen Zahlung um einen Fernzahlungsvorgang handelt, z. B. die Beauftragung einer Überweisung im Electronic-Banking oder die Zahlung mittels Kreditkarte im Internet, ist die SKA mit einer sogenannten dynamischen Verknüpfung in Bezug auf Empfänger und Betrag zu erweitern.</w:t>
            </w:r>
          </w:p>
        </w:tc>
        <w:tc>
          <w:tcPr>
            <w:tcW w:w="1000" w:type="pct"/>
            <w:tcBorders>
              <w:top w:val="single" w:sz="2" w:space="0" w:color="272727"/>
              <w:left w:val="single" w:sz="48" w:space="0" w:color="FFFFFF" w:themeColor="background1"/>
              <w:bottom w:val="single" w:sz="8" w:space="0" w:color="272727"/>
              <w:right w:val="nil"/>
            </w:tcBorders>
          </w:tcPr>
          <w:p w14:paraId="3411D3E0" w14:textId="77777777" w:rsidR="00C1515E" w:rsidRPr="002A158B" w:rsidRDefault="00C1515E" w:rsidP="002A158B">
            <w:pPr>
              <w:pStyle w:val="TabelleText"/>
              <w:spacing w:before="300"/>
            </w:pPr>
            <w:r w:rsidRPr="002A158B">
              <w:lastRenderedPageBreak/>
              <w:t>Prüfung mittels Electronic-Banking Testdemo bzw. Kartenzahlungs-Demo oder bspw. mit Hilfe des eigenen Online-Banking oder Mobile-Banking.</w:t>
            </w:r>
          </w:p>
          <w:p w14:paraId="57A20DC1" w14:textId="53FEBAEF" w:rsidR="00C1515E" w:rsidRPr="002A158B" w:rsidRDefault="00C1515E" w:rsidP="002A158B">
            <w:pPr>
              <w:pStyle w:val="TabelleText"/>
              <w:spacing w:before="300"/>
            </w:pPr>
            <w:r w:rsidRPr="002A158B">
              <w:t xml:space="preserve">Folgende Aspekte sollten berücksichtigt werden: </w:t>
            </w:r>
          </w:p>
          <w:p w14:paraId="520C6154" w14:textId="6E563565" w:rsidR="00C1515E" w:rsidRPr="002A158B" w:rsidRDefault="00C1515E" w:rsidP="002A158B">
            <w:pPr>
              <w:pStyle w:val="TabelleText"/>
              <w:spacing w:before="300"/>
            </w:pPr>
            <w:r w:rsidRPr="002A158B">
              <w:t xml:space="preserve">- Wird dem Zahler während des gesamten Zahlungsvorgangs die </w:t>
            </w:r>
            <w:r w:rsidRPr="002A158B">
              <w:lastRenderedPageBreak/>
              <w:t>Information zum Zahlungsempfänger und dem Betrag angezeigt?</w:t>
            </w:r>
          </w:p>
          <w:p w14:paraId="29614151" w14:textId="2CBBEA88" w:rsidR="00C1515E" w:rsidRPr="002A158B" w:rsidRDefault="00C1515E" w:rsidP="002A158B">
            <w:pPr>
              <w:pStyle w:val="TabelleText"/>
              <w:spacing w:before="300"/>
            </w:pPr>
            <w:r w:rsidRPr="002A158B">
              <w:t>- Können der Betrag und der Empfänger während der Authentifizierung geändert werden oder muss der Vorgang „gecancelt“ und neu erfasst werden?</w:t>
            </w:r>
          </w:p>
          <w:p w14:paraId="20E133EC" w14:textId="2B30AF50" w:rsidR="00C1515E" w:rsidRPr="002A158B" w:rsidRDefault="00C1515E" w:rsidP="002A158B">
            <w:pPr>
              <w:pStyle w:val="TabelleText"/>
              <w:spacing w:before="300"/>
            </w:pPr>
            <w:r w:rsidRPr="002A158B">
              <w:t>- Ist der Prozess über alle Kanäle (Online, Mobile) hinweg gleich?</w:t>
            </w:r>
          </w:p>
        </w:tc>
        <w:tc>
          <w:tcPr>
            <w:tcW w:w="1000" w:type="pct"/>
            <w:tcBorders>
              <w:top w:val="single" w:sz="2" w:space="0" w:color="272727"/>
              <w:left w:val="single" w:sz="48" w:space="0" w:color="FFFFFF" w:themeColor="background1"/>
              <w:bottom w:val="single" w:sz="8" w:space="0" w:color="272727"/>
              <w:right w:val="nil"/>
            </w:tcBorders>
          </w:tcPr>
          <w:p w14:paraId="7A91BA39" w14:textId="38A45D58" w:rsidR="00C1515E" w:rsidRPr="002A158B" w:rsidRDefault="00C1515E" w:rsidP="002A158B">
            <w:pPr>
              <w:pStyle w:val="TabelleText"/>
              <w:spacing w:before="300"/>
            </w:pPr>
            <w:r w:rsidRPr="002A158B">
              <w:lastRenderedPageBreak/>
              <w:t>PSD2-Zertifikate vom Dienstleister sowie dem Geräte- und Softwarehersteller einfordern.</w:t>
            </w:r>
          </w:p>
        </w:tc>
      </w:tr>
      <w:tr w:rsidR="00C1515E" w:rsidRPr="00201374" w14:paraId="7198C63B" w14:textId="77777777" w:rsidTr="00C1515E">
        <w:trPr>
          <w:trHeight w:val="63"/>
        </w:trPr>
        <w:tc>
          <w:tcPr>
            <w:tcW w:w="106" w:type="pct"/>
            <w:tcBorders>
              <w:top w:val="single" w:sz="2" w:space="0" w:color="272727"/>
              <w:left w:val="nil"/>
              <w:bottom w:val="single" w:sz="8" w:space="0" w:color="272727"/>
              <w:right w:val="single" w:sz="48" w:space="0" w:color="FFFFFF" w:themeColor="background1"/>
            </w:tcBorders>
          </w:tcPr>
          <w:p w14:paraId="43DFCF62" w14:textId="77777777" w:rsidR="00C1515E" w:rsidRPr="002A158B" w:rsidRDefault="00C1515E" w:rsidP="004943E7">
            <w:pPr>
              <w:rPr>
                <w:rFonts w:cs="Arial"/>
                <w:sz w:val="17"/>
                <w:szCs w:val="17"/>
              </w:rPr>
            </w:pPr>
            <w:r w:rsidRPr="002A158B">
              <w:rPr>
                <w:rFonts w:cs="Arial"/>
                <w:sz w:val="17"/>
                <w:szCs w:val="17"/>
              </w:rPr>
              <w:t>(2)</w:t>
            </w:r>
          </w:p>
          <w:p w14:paraId="764557D2" w14:textId="77777777" w:rsidR="00C1515E" w:rsidRPr="002A158B" w:rsidRDefault="00C1515E" w:rsidP="004943E7">
            <w:pPr>
              <w:rPr>
                <w:rFonts w:cs="Arial"/>
                <w:sz w:val="17"/>
                <w:szCs w:val="17"/>
              </w:rPr>
            </w:pPr>
          </w:p>
        </w:tc>
        <w:tc>
          <w:tcPr>
            <w:tcW w:w="1532" w:type="pct"/>
            <w:tcBorders>
              <w:top w:val="single" w:sz="2" w:space="0" w:color="272727"/>
              <w:left w:val="nil"/>
              <w:bottom w:val="single" w:sz="8" w:space="0" w:color="272727"/>
              <w:right w:val="single" w:sz="48" w:space="0" w:color="FFFFFF" w:themeColor="background1"/>
            </w:tcBorders>
          </w:tcPr>
          <w:p w14:paraId="602F50E0" w14:textId="51792361" w:rsidR="00C1515E" w:rsidRPr="002A158B" w:rsidRDefault="00C1515E" w:rsidP="004943E7">
            <w:pPr>
              <w:rPr>
                <w:rFonts w:cs="Arial"/>
                <w:sz w:val="17"/>
                <w:szCs w:val="17"/>
              </w:rPr>
            </w:pPr>
            <w:r w:rsidRPr="002A158B">
              <w:rPr>
                <w:rFonts w:cs="Arial"/>
                <w:sz w:val="17"/>
                <w:szCs w:val="17"/>
              </w:rPr>
              <w:t xml:space="preserve">Für die Zwecke des Abs. 1 sehen die Zahlungsdienstleister Sicherheitsmaßnahmen vor, die die Vertraulichkeit, die Authentizität und die Integrität aller folgenden Angaben gewährleisten: </w:t>
            </w:r>
          </w:p>
          <w:p w14:paraId="05AA34E2" w14:textId="2F4F19A1" w:rsidR="00C1515E" w:rsidRPr="002A158B" w:rsidRDefault="00C1515E" w:rsidP="004943E7">
            <w:pPr>
              <w:rPr>
                <w:rFonts w:cs="Arial"/>
                <w:sz w:val="17"/>
                <w:szCs w:val="17"/>
              </w:rPr>
            </w:pPr>
            <w:r w:rsidRPr="002A158B">
              <w:rPr>
                <w:rFonts w:cs="Arial"/>
                <w:sz w:val="17"/>
                <w:szCs w:val="17"/>
              </w:rPr>
              <w:t xml:space="preserve">a) Zahlungsbetrag und Zahlungsempfänger in allen Phasen der Authentifizierung; </w:t>
            </w:r>
          </w:p>
          <w:p w14:paraId="11AB4253" w14:textId="131AC357" w:rsidR="00C1515E" w:rsidRPr="002A158B" w:rsidRDefault="00C1515E" w:rsidP="004943E7">
            <w:pPr>
              <w:rPr>
                <w:rFonts w:cs="Arial"/>
                <w:sz w:val="17"/>
                <w:szCs w:val="17"/>
              </w:rPr>
            </w:pPr>
            <w:r w:rsidRPr="002A158B">
              <w:rPr>
                <w:rFonts w:cs="Arial"/>
                <w:sz w:val="17"/>
                <w:szCs w:val="17"/>
              </w:rPr>
              <w:t xml:space="preserve">b) Angaben, die dem Zahler in allen Phasen der Authentifizierung, einschließlich der Generierung, Übertragung und Verwendung des Authentifizierungscodes, angezeigt werden. </w:t>
            </w:r>
          </w:p>
        </w:tc>
        <w:tc>
          <w:tcPr>
            <w:tcW w:w="1362" w:type="pct"/>
            <w:tcBorders>
              <w:top w:val="single" w:sz="2" w:space="0" w:color="272727"/>
              <w:left w:val="nil"/>
              <w:bottom w:val="single" w:sz="8" w:space="0" w:color="272727"/>
              <w:right w:val="single" w:sz="48" w:space="0" w:color="FFFFFF" w:themeColor="background1"/>
            </w:tcBorders>
          </w:tcPr>
          <w:p w14:paraId="721C28F1" w14:textId="3039C3DD" w:rsidR="00C1515E" w:rsidRPr="002A158B" w:rsidRDefault="00C1515E" w:rsidP="004943E7">
            <w:pPr>
              <w:pStyle w:val="TabelleText"/>
              <w:spacing w:before="300"/>
              <w:rPr>
                <w:rFonts w:cs="Arial"/>
              </w:rPr>
            </w:pPr>
            <w:r w:rsidRPr="002A158B">
              <w:rPr>
                <w:rFonts w:cs="Arial"/>
              </w:rPr>
              <w:t xml:space="preserve">Der Zugriffsschutz von außen wird beschrieben, z. B. dürfen Betrag und Empfänger während des Freigabeprozesses nicht von Dritten einsehbar sein (Vertraulichkeit) bzw. geändert werden können (Integrität). </w:t>
            </w:r>
          </w:p>
        </w:tc>
        <w:tc>
          <w:tcPr>
            <w:tcW w:w="1000" w:type="pct"/>
            <w:tcBorders>
              <w:top w:val="single" w:sz="2" w:space="0" w:color="272727"/>
              <w:left w:val="single" w:sz="48" w:space="0" w:color="FFFFFF" w:themeColor="background1"/>
              <w:bottom w:val="single" w:sz="8" w:space="0" w:color="272727"/>
              <w:right w:val="nil"/>
            </w:tcBorders>
          </w:tcPr>
          <w:p w14:paraId="49119C66" w14:textId="77777777" w:rsidR="00C1515E" w:rsidRPr="002A158B" w:rsidRDefault="00C1515E" w:rsidP="004943E7">
            <w:pPr>
              <w:rPr>
                <w:rFonts w:cs="Arial"/>
                <w:sz w:val="17"/>
                <w:szCs w:val="17"/>
              </w:rPr>
            </w:pPr>
            <w:r w:rsidRPr="002A158B">
              <w:rPr>
                <w:rFonts w:cs="Arial"/>
                <w:sz w:val="17"/>
                <w:szCs w:val="17"/>
              </w:rPr>
              <w:t>Prüfung der Anforderungen und ggf. Sichtung diverser Protokolle (bspw. Abnahmeprotokolle).</w:t>
            </w:r>
          </w:p>
          <w:p w14:paraId="3D5B87A2" w14:textId="62427214" w:rsidR="00C1515E" w:rsidRPr="002A158B" w:rsidRDefault="00C1515E" w:rsidP="004943E7">
            <w:pPr>
              <w:pStyle w:val="TabelleText"/>
              <w:spacing w:before="300"/>
              <w:rPr>
                <w:rFonts w:cs="Arial"/>
              </w:rPr>
            </w:pPr>
            <w:r w:rsidRPr="002A158B">
              <w:rPr>
                <w:rFonts w:cs="Arial"/>
              </w:rPr>
              <w:t>Prüfung der technischen Umsetzung und Bewertung der Angemessenheit.</w:t>
            </w:r>
          </w:p>
        </w:tc>
        <w:tc>
          <w:tcPr>
            <w:tcW w:w="1000" w:type="pct"/>
            <w:tcBorders>
              <w:top w:val="single" w:sz="2" w:space="0" w:color="272727"/>
              <w:left w:val="single" w:sz="48" w:space="0" w:color="FFFFFF" w:themeColor="background1"/>
              <w:bottom w:val="single" w:sz="8" w:space="0" w:color="272727"/>
              <w:right w:val="nil"/>
            </w:tcBorders>
          </w:tcPr>
          <w:p w14:paraId="7B6F22D9" w14:textId="77777777" w:rsidR="00C1515E" w:rsidRPr="002A158B" w:rsidRDefault="00C1515E" w:rsidP="004943E7">
            <w:pPr>
              <w:pStyle w:val="TabelleText"/>
              <w:spacing w:before="300"/>
              <w:rPr>
                <w:rFonts w:cs="Arial"/>
              </w:rPr>
            </w:pPr>
          </w:p>
        </w:tc>
      </w:tr>
      <w:tr w:rsidR="00C1515E" w:rsidRPr="00201374" w14:paraId="3F1F0748" w14:textId="77777777" w:rsidTr="00C1515E">
        <w:trPr>
          <w:trHeight w:val="63"/>
        </w:trPr>
        <w:tc>
          <w:tcPr>
            <w:tcW w:w="106" w:type="pct"/>
            <w:tcBorders>
              <w:top w:val="single" w:sz="2" w:space="0" w:color="272727"/>
              <w:left w:val="nil"/>
              <w:bottom w:val="single" w:sz="8" w:space="0" w:color="272727"/>
              <w:right w:val="single" w:sz="48" w:space="0" w:color="FFFFFF" w:themeColor="background1"/>
            </w:tcBorders>
          </w:tcPr>
          <w:p w14:paraId="0B78B273" w14:textId="240B1E01" w:rsidR="00C1515E" w:rsidRPr="002A158B" w:rsidRDefault="000606C2" w:rsidP="004943E7">
            <w:pPr>
              <w:rPr>
                <w:rFonts w:cs="Arial"/>
                <w:sz w:val="17"/>
                <w:szCs w:val="17"/>
              </w:rPr>
            </w:pPr>
            <w:r w:rsidRPr="002A158B">
              <w:rPr>
                <w:rFonts w:cs="Arial"/>
                <w:sz w:val="17"/>
                <w:szCs w:val="17"/>
              </w:rPr>
              <w:lastRenderedPageBreak/>
              <w:t>(3)</w:t>
            </w:r>
          </w:p>
        </w:tc>
        <w:tc>
          <w:tcPr>
            <w:tcW w:w="1532" w:type="pct"/>
            <w:tcBorders>
              <w:top w:val="single" w:sz="2" w:space="0" w:color="272727"/>
              <w:left w:val="nil"/>
              <w:bottom w:val="single" w:sz="8" w:space="0" w:color="272727"/>
              <w:right w:val="single" w:sz="48" w:space="0" w:color="FFFFFF" w:themeColor="background1"/>
            </w:tcBorders>
          </w:tcPr>
          <w:p w14:paraId="473E321B" w14:textId="182198D1" w:rsidR="00C1515E" w:rsidRPr="002A158B" w:rsidRDefault="00C1515E" w:rsidP="004943E7">
            <w:pPr>
              <w:rPr>
                <w:rFonts w:cs="Arial"/>
                <w:sz w:val="17"/>
                <w:szCs w:val="17"/>
              </w:rPr>
            </w:pPr>
            <w:r w:rsidRPr="002A158B">
              <w:rPr>
                <w:rFonts w:cs="Arial"/>
                <w:sz w:val="17"/>
                <w:szCs w:val="17"/>
              </w:rPr>
              <w:t xml:space="preserve">Für die Zwecke des Abs. 1 Buchstabe b sowie wenn Zahlungsdienstleister gemäß Art. 97 Abs. 2 der Richtlinie (EU) 2015/2366 eine starke Kundenauthentifizierung verlangen, muss der Authentifizierungscode folgende Anforderungen erfüllen: </w:t>
            </w:r>
          </w:p>
          <w:p w14:paraId="38151B30" w14:textId="77777777" w:rsidR="00C1515E" w:rsidRPr="002A158B" w:rsidRDefault="00C1515E" w:rsidP="004943E7">
            <w:pPr>
              <w:rPr>
                <w:rFonts w:cs="Arial"/>
                <w:sz w:val="17"/>
                <w:szCs w:val="17"/>
              </w:rPr>
            </w:pPr>
            <w:r w:rsidRPr="002A158B">
              <w:rPr>
                <w:rFonts w:cs="Arial"/>
                <w:sz w:val="17"/>
                <w:szCs w:val="17"/>
              </w:rPr>
              <w:t xml:space="preserve">a) Bei einem kartengebundenen </w:t>
            </w:r>
          </w:p>
          <w:p w14:paraId="2C211760" w14:textId="5BF03815" w:rsidR="00C1515E" w:rsidRPr="002A158B" w:rsidRDefault="00C1515E" w:rsidP="004943E7">
            <w:pPr>
              <w:rPr>
                <w:rFonts w:cs="Arial"/>
                <w:sz w:val="17"/>
                <w:szCs w:val="17"/>
              </w:rPr>
            </w:pPr>
            <w:r w:rsidRPr="002A158B">
              <w:rPr>
                <w:rFonts w:cs="Arial"/>
                <w:sz w:val="17"/>
                <w:szCs w:val="17"/>
              </w:rPr>
              <w:t xml:space="preserve">Zahlungsvorgang, für den der Zahler nach Art. 75 Abs. 1 der oben genannten Richtlinie seine Zustimmung zu der genauen Höhe des zu blockierenden Geldbetrags erteilt hat, gilt der Authentifizierungscode speziell für den Betrag, für dessen Blockierung der Zahler seine Zustimmung erteilt hat und dem er beim Auslösen des Zahlungsvorgangs zugestimmt hat. </w:t>
            </w:r>
          </w:p>
          <w:p w14:paraId="13DEDA96" w14:textId="69C88D20" w:rsidR="00C1515E" w:rsidRPr="002A158B" w:rsidRDefault="00C1515E" w:rsidP="004943E7">
            <w:pPr>
              <w:rPr>
                <w:rFonts w:cs="Arial"/>
                <w:sz w:val="17"/>
                <w:szCs w:val="17"/>
              </w:rPr>
            </w:pPr>
            <w:r w:rsidRPr="002A158B">
              <w:rPr>
                <w:rFonts w:cs="Arial"/>
                <w:sz w:val="17"/>
                <w:szCs w:val="17"/>
              </w:rPr>
              <w:t>b) Bei Zahlungsvorgängen, für die der Zahler der Ausführung eines Satzes elektronischer Fernzahlungsvorgänge zugunsten eines oder mehrerer Zahlungsempfänger zugestimmt hat, gilt der Authentifizierungscode speziell für den Gesamtbetrag des Satzes und für die angegebenen Zahlungsempfänger.</w:t>
            </w:r>
          </w:p>
        </w:tc>
        <w:tc>
          <w:tcPr>
            <w:tcW w:w="1362" w:type="pct"/>
            <w:tcBorders>
              <w:top w:val="single" w:sz="2" w:space="0" w:color="272727"/>
              <w:left w:val="nil"/>
              <w:bottom w:val="single" w:sz="8" w:space="0" w:color="272727"/>
              <w:right w:val="single" w:sz="48" w:space="0" w:color="FFFFFF" w:themeColor="background1"/>
            </w:tcBorders>
          </w:tcPr>
          <w:p w14:paraId="67746450" w14:textId="16B19947" w:rsidR="00C1515E" w:rsidRPr="002A158B" w:rsidRDefault="00C1515E" w:rsidP="004943E7">
            <w:pPr>
              <w:pStyle w:val="TabelleText"/>
              <w:spacing w:before="300"/>
              <w:rPr>
                <w:rFonts w:cs="Arial"/>
              </w:rPr>
            </w:pPr>
            <w:r w:rsidRPr="002A158B">
              <w:rPr>
                <w:rFonts w:cs="Arial"/>
              </w:rPr>
              <w:t>Anforderungen an den Authentifizierungscode getrennt nach Kartenzahlungen bei denen der Betrag im Vorfeld nicht bekannt ist (z. B. Hinterlegung der Kreditkarte im Hotel oder Autovermietung als Sicherheit o. ä.) und Online-Überweisungen.</w:t>
            </w:r>
          </w:p>
        </w:tc>
        <w:tc>
          <w:tcPr>
            <w:tcW w:w="1000" w:type="pct"/>
            <w:tcBorders>
              <w:top w:val="single" w:sz="2" w:space="0" w:color="272727"/>
              <w:left w:val="single" w:sz="48" w:space="0" w:color="FFFFFF" w:themeColor="background1"/>
              <w:bottom w:val="single" w:sz="8" w:space="0" w:color="272727"/>
              <w:right w:val="nil"/>
            </w:tcBorders>
          </w:tcPr>
          <w:p w14:paraId="2B15E8B1" w14:textId="089703B8" w:rsidR="00C1515E" w:rsidRPr="002A158B" w:rsidRDefault="00C1515E" w:rsidP="004943E7">
            <w:pPr>
              <w:tabs>
                <w:tab w:val="right" w:pos="3031"/>
              </w:tabs>
              <w:rPr>
                <w:rFonts w:cs="Arial"/>
                <w:sz w:val="17"/>
                <w:szCs w:val="17"/>
              </w:rPr>
            </w:pPr>
            <w:r w:rsidRPr="002A158B">
              <w:rPr>
                <w:rFonts w:cs="Arial"/>
                <w:sz w:val="17"/>
                <w:szCs w:val="17"/>
              </w:rPr>
              <w:t xml:space="preserve">Prüfung der fachlichen und technischen Konzepte. </w:t>
            </w:r>
          </w:p>
          <w:p w14:paraId="6494D2DE" w14:textId="24764F3C" w:rsidR="00C1515E" w:rsidRPr="002A158B" w:rsidRDefault="00C1515E" w:rsidP="004943E7">
            <w:pPr>
              <w:rPr>
                <w:rFonts w:cs="Arial"/>
                <w:sz w:val="17"/>
                <w:szCs w:val="17"/>
              </w:rPr>
            </w:pPr>
            <w:r w:rsidRPr="002A158B">
              <w:rPr>
                <w:rFonts w:cs="Arial"/>
                <w:sz w:val="17"/>
                <w:szCs w:val="17"/>
              </w:rPr>
              <w:t>Prüfung von durchgeführten Tests.</w:t>
            </w:r>
          </w:p>
          <w:p w14:paraId="5AD27997" w14:textId="69CA7CC6" w:rsidR="00C1515E" w:rsidRPr="002A158B" w:rsidRDefault="00C1515E" w:rsidP="004943E7">
            <w:pPr>
              <w:tabs>
                <w:tab w:val="right" w:pos="3031"/>
              </w:tabs>
              <w:rPr>
                <w:rFonts w:cs="Arial"/>
                <w:sz w:val="17"/>
                <w:szCs w:val="17"/>
              </w:rPr>
            </w:pPr>
            <w:r w:rsidRPr="002A158B">
              <w:rPr>
                <w:rFonts w:cs="Arial"/>
                <w:sz w:val="17"/>
                <w:szCs w:val="17"/>
              </w:rPr>
              <w:t>Prüfung der technischen Umsetzung und Bewertung der Angemessenheit.</w:t>
            </w:r>
          </w:p>
          <w:p w14:paraId="77393743" w14:textId="578F7EAE" w:rsidR="00C1515E" w:rsidRPr="002A158B" w:rsidRDefault="00C1515E" w:rsidP="004943E7">
            <w:pPr>
              <w:pStyle w:val="TabelleText"/>
              <w:spacing w:before="300"/>
              <w:rPr>
                <w:rFonts w:cs="Arial"/>
              </w:rPr>
            </w:pPr>
            <w:r w:rsidRPr="002A158B">
              <w:rPr>
                <w:rFonts w:cs="Arial"/>
              </w:rPr>
              <w:t xml:space="preserve">Wird Dynamic Linking auch bei den Bulk-Dateien der Corporate Kunden berücksichtigt (über alle Autorisierungs- devices hinweg </w:t>
            </w:r>
            <w:r w:rsidRPr="002A158B">
              <w:rPr>
                <w:rFonts w:cs="Arial"/>
              </w:rPr>
              <w:sym w:font="Wingdings" w:char="F0E0"/>
            </w:r>
            <w:r w:rsidRPr="002A158B">
              <w:rPr>
                <w:rFonts w:cs="Arial"/>
              </w:rPr>
              <w:t xml:space="preserve"> bspw. PhotoTAN Geräte)?</w:t>
            </w:r>
          </w:p>
        </w:tc>
        <w:tc>
          <w:tcPr>
            <w:tcW w:w="1000" w:type="pct"/>
            <w:tcBorders>
              <w:top w:val="single" w:sz="2" w:space="0" w:color="272727"/>
              <w:left w:val="single" w:sz="48" w:space="0" w:color="FFFFFF" w:themeColor="background1"/>
              <w:bottom w:val="single" w:sz="8" w:space="0" w:color="272727"/>
              <w:right w:val="nil"/>
            </w:tcBorders>
          </w:tcPr>
          <w:p w14:paraId="6909FC40" w14:textId="77777777" w:rsidR="00C1515E" w:rsidRPr="002A158B" w:rsidRDefault="00C1515E" w:rsidP="004943E7">
            <w:pPr>
              <w:pStyle w:val="TabelleText"/>
              <w:spacing w:before="300"/>
              <w:rPr>
                <w:rFonts w:cs="Arial"/>
              </w:rPr>
            </w:pPr>
          </w:p>
        </w:tc>
      </w:tr>
      <w:tr w:rsidR="002A158B" w:rsidRPr="00201374" w14:paraId="4A1FD1F8" w14:textId="77777777" w:rsidTr="002A158B">
        <w:trPr>
          <w:trHeight w:val="63"/>
        </w:trPr>
        <w:tc>
          <w:tcPr>
            <w:tcW w:w="5000" w:type="pct"/>
            <w:gridSpan w:val="5"/>
            <w:tcBorders>
              <w:top w:val="single" w:sz="2" w:space="0" w:color="272727"/>
              <w:left w:val="nil"/>
              <w:bottom w:val="single" w:sz="8" w:space="0" w:color="272727"/>
              <w:right w:val="single" w:sz="48" w:space="0" w:color="FFFFFF" w:themeColor="background1"/>
            </w:tcBorders>
          </w:tcPr>
          <w:p w14:paraId="59F9402D" w14:textId="3062AFA8" w:rsidR="002A158B" w:rsidRPr="002A158B" w:rsidRDefault="002A158B" w:rsidP="002A158B">
            <w:pPr>
              <w:pStyle w:val="TabelleText"/>
              <w:spacing w:before="240"/>
              <w:rPr>
                <w:b/>
                <w:bCs/>
              </w:rPr>
            </w:pPr>
            <w:r w:rsidRPr="002A158B">
              <w:rPr>
                <w:b/>
                <w:bCs/>
              </w:rPr>
              <w:t>Artikel 6 – Anforderungen an die Elemente der Kategorie Wissen</w:t>
            </w:r>
          </w:p>
        </w:tc>
      </w:tr>
      <w:tr w:rsidR="00C1515E" w:rsidRPr="004943E7" w14:paraId="28D4D32C" w14:textId="77777777" w:rsidTr="00C1515E">
        <w:trPr>
          <w:trHeight w:val="63"/>
        </w:trPr>
        <w:tc>
          <w:tcPr>
            <w:tcW w:w="106" w:type="pct"/>
            <w:tcBorders>
              <w:top w:val="single" w:sz="2" w:space="0" w:color="272727"/>
              <w:left w:val="nil"/>
              <w:bottom w:val="single" w:sz="8" w:space="0" w:color="272727"/>
              <w:right w:val="single" w:sz="48" w:space="0" w:color="FFFFFF" w:themeColor="background1"/>
            </w:tcBorders>
          </w:tcPr>
          <w:p w14:paraId="11DD1AC1" w14:textId="77777777" w:rsidR="000606C2" w:rsidRPr="004943E7" w:rsidRDefault="000606C2" w:rsidP="002A158B">
            <w:pPr>
              <w:pStyle w:val="TabelleText"/>
              <w:spacing w:before="240"/>
            </w:pPr>
            <w:r w:rsidRPr="004943E7">
              <w:lastRenderedPageBreak/>
              <w:t>(1)</w:t>
            </w:r>
          </w:p>
          <w:p w14:paraId="0689AE80" w14:textId="77777777" w:rsidR="00C1515E" w:rsidRPr="004943E7" w:rsidRDefault="00C1515E" w:rsidP="002A158B">
            <w:pPr>
              <w:pStyle w:val="TabelleText"/>
              <w:spacing w:before="240"/>
            </w:pPr>
          </w:p>
        </w:tc>
        <w:tc>
          <w:tcPr>
            <w:tcW w:w="1532" w:type="pct"/>
            <w:tcBorders>
              <w:top w:val="single" w:sz="2" w:space="0" w:color="272727"/>
              <w:left w:val="nil"/>
              <w:bottom w:val="single" w:sz="8" w:space="0" w:color="272727"/>
              <w:right w:val="single" w:sz="48" w:space="0" w:color="FFFFFF" w:themeColor="background1"/>
            </w:tcBorders>
          </w:tcPr>
          <w:p w14:paraId="411EE6CA" w14:textId="5AD7F8F9" w:rsidR="00C1515E" w:rsidRPr="004943E7" w:rsidRDefault="00C1515E" w:rsidP="002A158B">
            <w:pPr>
              <w:pStyle w:val="TabelleText"/>
              <w:spacing w:before="240"/>
            </w:pPr>
            <w:r w:rsidRPr="004943E7">
              <w:t xml:space="preserve">Die Zahlungsdienstleister ergreifen Maßnahmen zur Minderung des Risikos, dass die in die Kategorie Wissen fallenden Elemente der starken Kundenauthentifizierung von Unbefugten aufgedeckt oder diesen gegenüber offengelegt werden. </w:t>
            </w:r>
          </w:p>
        </w:tc>
        <w:tc>
          <w:tcPr>
            <w:tcW w:w="1362" w:type="pct"/>
            <w:tcBorders>
              <w:top w:val="single" w:sz="2" w:space="0" w:color="272727"/>
              <w:left w:val="nil"/>
              <w:bottom w:val="single" w:sz="8" w:space="0" w:color="272727"/>
              <w:right w:val="single" w:sz="48" w:space="0" w:color="FFFFFF" w:themeColor="background1"/>
            </w:tcBorders>
          </w:tcPr>
          <w:p w14:paraId="5988B22A" w14:textId="6E6604ED" w:rsidR="00C1515E" w:rsidRPr="004943E7" w:rsidRDefault="00C1515E" w:rsidP="002A158B">
            <w:pPr>
              <w:pStyle w:val="TabelleText"/>
              <w:spacing w:before="240"/>
            </w:pPr>
            <w:r w:rsidRPr="004943E7">
              <w:t>Kategorie Wissen (etwas, das nur der Nutzer weiß, bspw. User-ID und PIN)</w:t>
            </w:r>
          </w:p>
        </w:tc>
        <w:tc>
          <w:tcPr>
            <w:tcW w:w="1000" w:type="pct"/>
            <w:tcBorders>
              <w:top w:val="single" w:sz="2" w:space="0" w:color="272727"/>
              <w:left w:val="single" w:sz="48" w:space="0" w:color="FFFFFF" w:themeColor="background1"/>
              <w:bottom w:val="single" w:sz="8" w:space="0" w:color="272727"/>
              <w:right w:val="nil"/>
            </w:tcBorders>
          </w:tcPr>
          <w:p w14:paraId="7DB5E496" w14:textId="4DDAF8C3" w:rsidR="00C1515E" w:rsidRPr="004943E7" w:rsidRDefault="00C1515E" w:rsidP="002A158B">
            <w:pPr>
              <w:pStyle w:val="TabelleText"/>
              <w:spacing w:before="240"/>
            </w:pPr>
            <w:r w:rsidRPr="004943E7">
              <w:t xml:space="preserve">Einsichtnahme in die schriftlich fixierte Ordnung (sfO): </w:t>
            </w:r>
          </w:p>
          <w:p w14:paraId="54229638" w14:textId="64863F82" w:rsidR="00C1515E" w:rsidRPr="004943E7" w:rsidRDefault="00C1515E" w:rsidP="002A158B">
            <w:pPr>
              <w:pStyle w:val="TabelleText"/>
              <w:spacing w:before="240"/>
            </w:pPr>
            <w:r w:rsidRPr="004943E7">
              <w:t xml:space="preserve">- Wie werden die PIN/Anmeldenamen etc. versendet? </w:t>
            </w:r>
          </w:p>
          <w:p w14:paraId="1EC4DC22" w14:textId="0D3F42EF" w:rsidR="00C1515E" w:rsidRPr="004943E7" w:rsidRDefault="00C1515E" w:rsidP="002A158B">
            <w:pPr>
              <w:pStyle w:val="TabelleText"/>
              <w:spacing w:before="240"/>
            </w:pPr>
            <w:r w:rsidRPr="004943E7">
              <w:t>- Erfolgt dies zentral oder dezentral?</w:t>
            </w:r>
          </w:p>
          <w:p w14:paraId="3757B679" w14:textId="4EF78318" w:rsidR="00C1515E" w:rsidRPr="004943E7" w:rsidRDefault="00C1515E" w:rsidP="002A158B">
            <w:pPr>
              <w:pStyle w:val="TabelleText"/>
              <w:spacing w:before="240"/>
            </w:pPr>
            <w:r w:rsidRPr="004943E7">
              <w:t xml:space="preserve">- Können Anmeldename und PIN durch einen Mitarbeiter allein direkt ausgedruckt werden? </w:t>
            </w:r>
          </w:p>
          <w:p w14:paraId="6C27ECD7" w14:textId="3B001860" w:rsidR="00C1515E" w:rsidRPr="004943E7" w:rsidRDefault="00C1515E" w:rsidP="002A158B">
            <w:pPr>
              <w:pStyle w:val="TabelleText"/>
              <w:spacing w:before="240"/>
            </w:pPr>
            <w:r w:rsidRPr="004943E7">
              <w:t xml:space="preserve">- Wird das damit einhergehende Risiko einer dolosen Handlung von der Bank akzeptiert? </w:t>
            </w:r>
          </w:p>
        </w:tc>
        <w:tc>
          <w:tcPr>
            <w:tcW w:w="1000" w:type="pct"/>
            <w:tcBorders>
              <w:top w:val="single" w:sz="2" w:space="0" w:color="272727"/>
              <w:left w:val="single" w:sz="48" w:space="0" w:color="FFFFFF" w:themeColor="background1"/>
              <w:bottom w:val="single" w:sz="8" w:space="0" w:color="272727"/>
              <w:right w:val="nil"/>
            </w:tcBorders>
          </w:tcPr>
          <w:p w14:paraId="52B5F069" w14:textId="49A65A56" w:rsidR="00C1515E" w:rsidRPr="004943E7" w:rsidRDefault="00C1515E" w:rsidP="002A158B">
            <w:pPr>
              <w:pStyle w:val="TabelleText"/>
              <w:spacing w:before="240"/>
            </w:pPr>
            <w:r w:rsidRPr="004943E7">
              <w:t>PSD2-Zertifikate vom Dienstleister sowie dem Geräte- und Softwarehersteller einfordern.</w:t>
            </w:r>
          </w:p>
        </w:tc>
      </w:tr>
      <w:tr w:rsidR="00C1515E" w:rsidRPr="004943E7" w14:paraId="3C19D4CD" w14:textId="77777777" w:rsidTr="00C1515E">
        <w:trPr>
          <w:trHeight w:val="63"/>
        </w:trPr>
        <w:tc>
          <w:tcPr>
            <w:tcW w:w="106" w:type="pct"/>
            <w:tcBorders>
              <w:top w:val="single" w:sz="2" w:space="0" w:color="272727"/>
              <w:left w:val="nil"/>
              <w:bottom w:val="single" w:sz="8" w:space="0" w:color="272727"/>
              <w:right w:val="single" w:sz="48" w:space="0" w:color="FFFFFF" w:themeColor="background1"/>
            </w:tcBorders>
          </w:tcPr>
          <w:p w14:paraId="4BCDB735" w14:textId="4478B9A5" w:rsidR="00C1515E" w:rsidRPr="004943E7" w:rsidRDefault="000606C2" w:rsidP="002A158B">
            <w:pPr>
              <w:pStyle w:val="TabelleText"/>
              <w:spacing w:before="240"/>
            </w:pPr>
            <w:r w:rsidRPr="004943E7">
              <w:t>(2)</w:t>
            </w:r>
          </w:p>
        </w:tc>
        <w:tc>
          <w:tcPr>
            <w:tcW w:w="1532" w:type="pct"/>
            <w:tcBorders>
              <w:top w:val="single" w:sz="2" w:space="0" w:color="272727"/>
              <w:left w:val="nil"/>
              <w:bottom w:val="single" w:sz="8" w:space="0" w:color="272727"/>
              <w:right w:val="single" w:sz="48" w:space="0" w:color="FFFFFF" w:themeColor="background1"/>
            </w:tcBorders>
          </w:tcPr>
          <w:p w14:paraId="3F524ED6" w14:textId="573F0255" w:rsidR="00C1515E" w:rsidRPr="004943E7" w:rsidRDefault="00C1515E" w:rsidP="002A158B">
            <w:pPr>
              <w:pStyle w:val="TabelleText"/>
              <w:spacing w:before="240"/>
            </w:pPr>
            <w:r w:rsidRPr="004943E7">
              <w:t>Für die Verwendung dieser Elemente durch den Zahler sind risikomindernde Maßnahmen zu treffen, um ihre Offenlegung gegenüber Unbefugten zu verhindern.</w:t>
            </w:r>
          </w:p>
        </w:tc>
        <w:tc>
          <w:tcPr>
            <w:tcW w:w="1362" w:type="pct"/>
            <w:tcBorders>
              <w:top w:val="single" w:sz="2" w:space="0" w:color="272727"/>
              <w:left w:val="nil"/>
              <w:bottom w:val="single" w:sz="8" w:space="0" w:color="272727"/>
              <w:right w:val="single" w:sz="48" w:space="0" w:color="FFFFFF" w:themeColor="background1"/>
            </w:tcBorders>
          </w:tcPr>
          <w:p w14:paraId="360A5DCB" w14:textId="3EA41359" w:rsidR="00C1515E" w:rsidRPr="004943E7" w:rsidRDefault="00C1515E" w:rsidP="002A158B">
            <w:pPr>
              <w:pStyle w:val="TabelleText"/>
              <w:spacing w:before="240"/>
            </w:pPr>
            <w:r w:rsidRPr="004943E7">
              <w:t xml:space="preserve">Die Bank hat Maßnahmen zu ergreifen, um z. B. die Online-Banking PIN zu schützen, z. B. nicht durchscheinenden Brief verwenden, getrennte Zusendung Benutzer ID und PIN, Karte und PIN getrennt versenden, erst PIN, dann Karte, </w:t>
            </w:r>
          </w:p>
          <w:p w14:paraId="53A73930" w14:textId="535492E2" w:rsidR="00C1515E" w:rsidRPr="004943E7" w:rsidRDefault="00C1515E" w:rsidP="002A158B">
            <w:pPr>
              <w:pStyle w:val="TabelleText"/>
              <w:spacing w:before="240"/>
            </w:pPr>
            <w:r w:rsidRPr="004943E7">
              <w:t xml:space="preserve">Sensibilisierungsmaßnahmen gegenüber dem Kunden bzgl. seines Umganges mit PIN (nicht notieren etc.). </w:t>
            </w:r>
          </w:p>
        </w:tc>
        <w:tc>
          <w:tcPr>
            <w:tcW w:w="1000" w:type="pct"/>
            <w:tcBorders>
              <w:top w:val="single" w:sz="2" w:space="0" w:color="272727"/>
              <w:left w:val="single" w:sz="48" w:space="0" w:color="FFFFFF" w:themeColor="background1"/>
              <w:bottom w:val="single" w:sz="8" w:space="0" w:color="272727"/>
              <w:right w:val="nil"/>
            </w:tcBorders>
          </w:tcPr>
          <w:p w14:paraId="4561211A" w14:textId="086D195F" w:rsidR="00C1515E" w:rsidRPr="004943E7" w:rsidRDefault="00C1515E" w:rsidP="002A158B">
            <w:pPr>
              <w:pStyle w:val="TabelleText"/>
              <w:spacing w:before="240"/>
            </w:pPr>
            <w:r w:rsidRPr="004943E7">
              <w:t>Welche risikomindernden Maßnahmen sind für die Nutzung von Wissenselementen implementiert, um eine Offenlegung gegenüber Unbefugten wirksam zu verhindern (z. B. im Login-/ SKA</w:t>
            </w:r>
            <w:r w:rsidRPr="004943E7">
              <w:noBreakHyphen/>
              <w:t xml:space="preserve">Prozess und bei der Eingabe)? </w:t>
            </w:r>
          </w:p>
          <w:p w14:paraId="5149D149" w14:textId="6E93BA72" w:rsidR="00C1515E" w:rsidRPr="004943E7" w:rsidRDefault="00C1515E" w:rsidP="002A158B">
            <w:pPr>
              <w:pStyle w:val="TabelleText"/>
              <w:spacing w:before="240"/>
            </w:pPr>
            <w:r w:rsidRPr="004943E7">
              <w:t>Wie wird sichergestellt und nachgewiesen, dass diese Maßnahmen über alle relevanten Kanäle (Online</w:t>
            </w:r>
            <w:r w:rsidRPr="004943E7">
              <w:noBreakHyphen/>
              <w:t xml:space="preserve">Banking, Mobile, </w:t>
            </w:r>
            <w:r w:rsidRPr="004943E7">
              <w:lastRenderedPageBreak/>
              <w:t>API</w:t>
            </w:r>
            <w:r w:rsidRPr="004943E7">
              <w:noBreakHyphen/>
              <w:t>basierte Flows, ggf. Call</w:t>
            </w:r>
            <w:r w:rsidRPr="004943E7">
              <w:noBreakHyphen/>
              <w:t xml:space="preserve">Center) konsistent angewendet werden? </w:t>
            </w:r>
          </w:p>
        </w:tc>
        <w:tc>
          <w:tcPr>
            <w:tcW w:w="1000" w:type="pct"/>
            <w:tcBorders>
              <w:top w:val="single" w:sz="2" w:space="0" w:color="272727"/>
              <w:left w:val="single" w:sz="48" w:space="0" w:color="FFFFFF" w:themeColor="background1"/>
              <w:bottom w:val="single" w:sz="8" w:space="0" w:color="272727"/>
              <w:right w:val="nil"/>
            </w:tcBorders>
          </w:tcPr>
          <w:p w14:paraId="17EEB81C" w14:textId="37870EEE" w:rsidR="00C1515E" w:rsidRPr="004943E7" w:rsidRDefault="00C1515E" w:rsidP="002A158B">
            <w:pPr>
              <w:pStyle w:val="TabelleText"/>
              <w:spacing w:before="240"/>
            </w:pPr>
            <w:r w:rsidRPr="004943E7">
              <w:lastRenderedPageBreak/>
              <w:t>Wie wird sichergestellt, dass Mitarbeiter des Dienstleisters – einschließlich Support und Subdienstleister – keinen Zugriff auf Wissenselemente oder daraus ableitbare Daten haben?</w:t>
            </w:r>
          </w:p>
        </w:tc>
      </w:tr>
      <w:tr w:rsidR="002A158B" w:rsidRPr="00201374" w14:paraId="703A4DA1" w14:textId="77777777" w:rsidTr="002A158B">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6316795A" w14:textId="2DFA3DDA" w:rsidR="002A158B" w:rsidRPr="002A158B" w:rsidRDefault="002A158B" w:rsidP="002A158B">
            <w:pPr>
              <w:pStyle w:val="TabelleText"/>
              <w:spacing w:before="240"/>
              <w:rPr>
                <w:b/>
                <w:bCs/>
              </w:rPr>
            </w:pPr>
            <w:r w:rsidRPr="002A158B">
              <w:rPr>
                <w:b/>
                <w:bCs/>
              </w:rPr>
              <w:t>Artikel 7 - Anforderungen an die Elemente der Kategorie Besitz</w:t>
            </w:r>
          </w:p>
        </w:tc>
      </w:tr>
      <w:tr w:rsidR="00C1515E" w:rsidRPr="00201374" w14:paraId="70B549C7"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3DD0E3D7" w14:textId="2C4E3BEB" w:rsidR="00C1515E" w:rsidRPr="004943E7" w:rsidRDefault="000606C2" w:rsidP="002A158B">
            <w:pPr>
              <w:pStyle w:val="TabelleText"/>
              <w:spacing w:before="240"/>
            </w:pPr>
            <w:r w:rsidRPr="004943E7">
              <w:t>(1)</w:t>
            </w:r>
          </w:p>
        </w:tc>
        <w:tc>
          <w:tcPr>
            <w:tcW w:w="1532" w:type="pct"/>
            <w:tcBorders>
              <w:top w:val="single" w:sz="2" w:space="0" w:color="272727"/>
              <w:left w:val="nil"/>
              <w:bottom w:val="single" w:sz="2" w:space="0" w:color="272727"/>
              <w:right w:val="single" w:sz="48" w:space="0" w:color="FFFFFF" w:themeColor="background1"/>
            </w:tcBorders>
          </w:tcPr>
          <w:p w14:paraId="6C0E3C8B" w14:textId="0007FAE2" w:rsidR="00C1515E" w:rsidRPr="004943E7" w:rsidRDefault="00C1515E" w:rsidP="002A158B">
            <w:pPr>
              <w:pStyle w:val="TabelleText"/>
              <w:spacing w:before="240"/>
            </w:pPr>
            <w:r w:rsidRPr="004943E7">
              <w:t xml:space="preserve">Die Zahlungsdienstleister ergreifen Maßnahmen zur Minderung des Risikos, dass die in die Kategorie Besitz fallenden Elemente der starken Kundenauthentifizierung von Unbefugten verwendet werden. </w:t>
            </w:r>
          </w:p>
        </w:tc>
        <w:tc>
          <w:tcPr>
            <w:tcW w:w="1362" w:type="pct"/>
            <w:tcBorders>
              <w:top w:val="single" w:sz="2" w:space="0" w:color="272727"/>
              <w:left w:val="nil"/>
              <w:bottom w:val="single" w:sz="2" w:space="0" w:color="272727"/>
              <w:right w:val="single" w:sz="48" w:space="0" w:color="FFFFFF" w:themeColor="background1"/>
            </w:tcBorders>
          </w:tcPr>
          <w:p w14:paraId="658E09B0" w14:textId="4A6DB8C6" w:rsidR="00C1515E" w:rsidRPr="004943E7" w:rsidRDefault="00C1515E" w:rsidP="002A158B">
            <w:pPr>
              <w:pStyle w:val="TabelleText"/>
              <w:spacing w:before="240"/>
            </w:pPr>
            <w:r w:rsidRPr="004943E7">
              <w:t>Kategorie Besitz (etwas, das nur der Nutzer besitzt, bspw. PhotoTAN, Mobile Token, Smartphone + SIM Card + installierte und aktivierte Mobile-Banking-App).</w:t>
            </w:r>
          </w:p>
          <w:p w14:paraId="7935A3FE" w14:textId="4D306813" w:rsidR="00C1515E" w:rsidRPr="004943E7" w:rsidRDefault="00C1515E" w:rsidP="002A158B">
            <w:pPr>
              <w:pStyle w:val="TabelleText"/>
              <w:spacing w:before="240"/>
            </w:pPr>
            <w:r w:rsidRPr="004943E7">
              <w:t>Bei der Nutzung von PhotoTAN-Geräten werden diese bspw. in die Filiale gesendet, um sicherzustellen, dass ein unbefugter Dritter das Gerät nicht stehlen kann.</w:t>
            </w:r>
          </w:p>
        </w:tc>
        <w:tc>
          <w:tcPr>
            <w:tcW w:w="1000" w:type="pct"/>
            <w:tcBorders>
              <w:top w:val="single" w:sz="2" w:space="0" w:color="272727"/>
              <w:left w:val="single" w:sz="48" w:space="0" w:color="FFFFFF" w:themeColor="background1"/>
              <w:bottom w:val="single" w:sz="2" w:space="0" w:color="272727"/>
              <w:right w:val="nil"/>
            </w:tcBorders>
          </w:tcPr>
          <w:p w14:paraId="48F59FB8" w14:textId="34649928" w:rsidR="00C1515E" w:rsidRPr="004943E7" w:rsidRDefault="00C1515E" w:rsidP="002A158B">
            <w:pPr>
              <w:pStyle w:val="TabelleText"/>
              <w:spacing w:before="240"/>
            </w:pPr>
            <w:r w:rsidRPr="004943E7">
              <w:t xml:space="preserve">Prüfung der technischen Umsetzung; </w:t>
            </w:r>
          </w:p>
          <w:p w14:paraId="36F05735" w14:textId="1254632F" w:rsidR="00C1515E" w:rsidRPr="004943E7" w:rsidRDefault="00C1515E" w:rsidP="002A158B">
            <w:pPr>
              <w:pStyle w:val="TabelleText"/>
              <w:spacing w:before="240"/>
            </w:pPr>
            <w:r w:rsidRPr="004943E7">
              <w:t>Wie werden TAN- Geräte dem Kunden zur Verfügung gestellt?</w:t>
            </w:r>
          </w:p>
          <w:p w14:paraId="02146AE3" w14:textId="2FF62323" w:rsidR="00C1515E" w:rsidRPr="004943E7" w:rsidRDefault="00C1515E" w:rsidP="002A158B">
            <w:pPr>
              <w:pStyle w:val="TabelleText"/>
              <w:spacing w:before="240"/>
            </w:pPr>
            <w:r w:rsidRPr="004943E7">
              <w:t>Welche Maßnahmen bestehen, um sicherzustellen, dass die Mobile-Banking-App nur über autorisierte App-Stores (Apple/Google Store) heruntergeladen werden kann (bspw. Identifizierung betrügerischer Internetseiten)?</w:t>
            </w:r>
          </w:p>
          <w:p w14:paraId="369F2D14" w14:textId="3243DF28" w:rsidR="00C1515E" w:rsidRPr="004943E7" w:rsidRDefault="00C1515E" w:rsidP="002A158B">
            <w:pPr>
              <w:pStyle w:val="TabelleText"/>
              <w:spacing w:before="240"/>
            </w:pPr>
            <w:r w:rsidRPr="004943E7">
              <w:t>Gibt es User Guidelines, in denen der Umgang mit den Geräten sowie die Sicherheitsmaßnahmen beschrieben werden?</w:t>
            </w:r>
          </w:p>
          <w:p w14:paraId="19E13F16" w14:textId="70D4C21E" w:rsidR="00C1515E" w:rsidRPr="004943E7" w:rsidRDefault="00C1515E" w:rsidP="002A158B">
            <w:pPr>
              <w:pStyle w:val="TabelleText"/>
              <w:spacing w:before="240"/>
            </w:pPr>
            <w:r w:rsidRPr="004943E7">
              <w:t>Welche Maßnahmen werden bei der Erstanmeldung in der App ergriffen? Verlangt der initiale Login bspw. Zusatzinformationen wie Kartendetails?</w:t>
            </w:r>
          </w:p>
        </w:tc>
        <w:tc>
          <w:tcPr>
            <w:tcW w:w="1000" w:type="pct"/>
            <w:tcBorders>
              <w:top w:val="single" w:sz="2" w:space="0" w:color="272727"/>
              <w:left w:val="single" w:sz="48" w:space="0" w:color="FFFFFF" w:themeColor="background1"/>
              <w:bottom w:val="single" w:sz="2" w:space="0" w:color="272727"/>
              <w:right w:val="nil"/>
            </w:tcBorders>
          </w:tcPr>
          <w:p w14:paraId="713DF38D" w14:textId="77777777" w:rsidR="00C1515E" w:rsidRPr="00201374" w:rsidRDefault="00C1515E" w:rsidP="002A158B">
            <w:pPr>
              <w:pStyle w:val="TabelleText"/>
              <w:spacing w:before="240"/>
            </w:pPr>
          </w:p>
        </w:tc>
      </w:tr>
      <w:tr w:rsidR="00C1515E" w:rsidRPr="00201374" w14:paraId="3022E455"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482E2368" w14:textId="12F01284" w:rsidR="00C1515E" w:rsidRPr="004943E7" w:rsidRDefault="000606C2" w:rsidP="002A158B">
            <w:pPr>
              <w:pStyle w:val="TabelleText"/>
              <w:spacing w:before="240"/>
            </w:pPr>
            <w:r w:rsidRPr="004943E7">
              <w:lastRenderedPageBreak/>
              <w:t>(2)</w:t>
            </w:r>
          </w:p>
        </w:tc>
        <w:tc>
          <w:tcPr>
            <w:tcW w:w="1532" w:type="pct"/>
            <w:tcBorders>
              <w:top w:val="single" w:sz="2" w:space="0" w:color="272727"/>
              <w:left w:val="nil"/>
              <w:bottom w:val="single" w:sz="2" w:space="0" w:color="272727"/>
              <w:right w:val="single" w:sz="48" w:space="0" w:color="FFFFFF" w:themeColor="background1"/>
            </w:tcBorders>
          </w:tcPr>
          <w:p w14:paraId="68873203" w14:textId="26E2C170" w:rsidR="00C1515E" w:rsidRPr="004943E7" w:rsidRDefault="00C1515E" w:rsidP="002A158B">
            <w:pPr>
              <w:pStyle w:val="TabelleText"/>
              <w:spacing w:before="240"/>
            </w:pPr>
            <w:r w:rsidRPr="004943E7">
              <w:t>Für die Verwendung dieser Elemente durch den Zahler sind Maßnahmen zu treffen, um ihre Nachbildung zu verhindern.</w:t>
            </w:r>
          </w:p>
        </w:tc>
        <w:tc>
          <w:tcPr>
            <w:tcW w:w="1362" w:type="pct"/>
            <w:tcBorders>
              <w:top w:val="single" w:sz="2" w:space="0" w:color="272727"/>
              <w:left w:val="nil"/>
              <w:bottom w:val="single" w:sz="2" w:space="0" w:color="272727"/>
              <w:right w:val="single" w:sz="48" w:space="0" w:color="FFFFFF" w:themeColor="background1"/>
            </w:tcBorders>
          </w:tcPr>
          <w:p w14:paraId="2596792E" w14:textId="2D27E8C5" w:rsidR="00C1515E" w:rsidRPr="004943E7" w:rsidRDefault="00C1515E" w:rsidP="002A158B">
            <w:pPr>
              <w:pStyle w:val="TabelleText"/>
              <w:spacing w:before="240"/>
            </w:pPr>
            <w:r w:rsidRPr="004943E7">
              <w:t>Maßnahmenanforderungen zur Verhinderung der Nachbildung von Elementen.</w:t>
            </w:r>
          </w:p>
        </w:tc>
        <w:tc>
          <w:tcPr>
            <w:tcW w:w="1000" w:type="pct"/>
            <w:tcBorders>
              <w:top w:val="single" w:sz="2" w:space="0" w:color="272727"/>
              <w:left w:val="single" w:sz="48" w:space="0" w:color="FFFFFF" w:themeColor="background1"/>
              <w:bottom w:val="single" w:sz="2" w:space="0" w:color="272727"/>
              <w:right w:val="nil"/>
            </w:tcBorders>
          </w:tcPr>
          <w:p w14:paraId="18B39641" w14:textId="6F198862" w:rsidR="00C1515E" w:rsidRPr="004943E7" w:rsidRDefault="00C1515E" w:rsidP="002A158B">
            <w:pPr>
              <w:pStyle w:val="TabelleText"/>
              <w:spacing w:before="240"/>
            </w:pPr>
            <w:r w:rsidRPr="004943E7">
              <w:t>Wie verläuft der Prozess bei Smartphonewechsel (ist bspw. eine erneute Initialisierung durch den Kunden erforderlich, da der mobile Token mit einer gerätespezifischen Eigenschaft verschlüsselt ist?)?</w:t>
            </w:r>
          </w:p>
        </w:tc>
        <w:tc>
          <w:tcPr>
            <w:tcW w:w="1000" w:type="pct"/>
            <w:tcBorders>
              <w:top w:val="single" w:sz="2" w:space="0" w:color="272727"/>
              <w:left w:val="single" w:sz="48" w:space="0" w:color="FFFFFF" w:themeColor="background1"/>
              <w:bottom w:val="single" w:sz="2" w:space="0" w:color="272727"/>
              <w:right w:val="nil"/>
            </w:tcBorders>
          </w:tcPr>
          <w:p w14:paraId="3C980C76" w14:textId="77777777" w:rsidR="00C1515E" w:rsidRPr="00201374" w:rsidRDefault="00C1515E" w:rsidP="002A158B">
            <w:pPr>
              <w:pStyle w:val="TabelleText"/>
              <w:spacing w:before="240"/>
            </w:pPr>
          </w:p>
        </w:tc>
      </w:tr>
      <w:tr w:rsidR="002A158B" w:rsidRPr="00201374" w14:paraId="6971296A" w14:textId="77777777" w:rsidTr="002A158B">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1FAA75AD" w14:textId="2D111FCE" w:rsidR="002A158B" w:rsidRPr="002A158B" w:rsidRDefault="002A158B" w:rsidP="002A158B">
            <w:pPr>
              <w:pStyle w:val="TabelleText"/>
              <w:spacing w:before="240"/>
              <w:rPr>
                <w:b/>
                <w:bCs/>
              </w:rPr>
            </w:pPr>
            <w:r w:rsidRPr="002A158B">
              <w:rPr>
                <w:b/>
                <w:bCs/>
              </w:rPr>
              <w:t>Artikel 8 - Anforderungen an Geräte und Software in Verbindung mit Elementen der Kategorie Inhärenz</w:t>
            </w:r>
          </w:p>
        </w:tc>
      </w:tr>
      <w:tr w:rsidR="00C1515E" w:rsidRPr="00201374" w14:paraId="5EB0258C"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3A9BB241" w14:textId="76170E2F" w:rsidR="00C1515E" w:rsidRPr="004943E7" w:rsidRDefault="000606C2" w:rsidP="002A158B">
            <w:pPr>
              <w:pStyle w:val="TabelleText"/>
              <w:spacing w:before="240"/>
            </w:pPr>
            <w:r w:rsidRPr="004943E7">
              <w:t>(1)</w:t>
            </w:r>
          </w:p>
        </w:tc>
        <w:tc>
          <w:tcPr>
            <w:tcW w:w="1532" w:type="pct"/>
            <w:tcBorders>
              <w:top w:val="single" w:sz="2" w:space="0" w:color="272727"/>
              <w:left w:val="nil"/>
              <w:bottom w:val="single" w:sz="2" w:space="0" w:color="272727"/>
              <w:right w:val="single" w:sz="48" w:space="0" w:color="FFFFFF" w:themeColor="background1"/>
            </w:tcBorders>
          </w:tcPr>
          <w:p w14:paraId="541EFCBD" w14:textId="479BA0AC" w:rsidR="004943E7" w:rsidRPr="004943E7" w:rsidRDefault="0088418E" w:rsidP="0088418E">
            <w:pPr>
              <w:pStyle w:val="TabelleText"/>
              <w:spacing w:before="240"/>
            </w:pPr>
            <w:r w:rsidRPr="000B3D3B">
              <w:t xml:space="preserve">Die Zahlungsdienstleister ergreifen Maßnahmen zur Minderung des Risikos, dass die in die Kategorie Inhärenz fallenden Authentifizierungselemente, die von den dem Zahler bereitgestellten Zugangsgeräten und der Zugangssoftware gelesen werden, von Unbefugten aufgedeckt werden. Als Mindestanforderung gewährleisten die Zahlungsdienstleister, dass für diese Zugangsgeräte und die Software eine sehr geringe Wahrscheinlichkeit besteht, dass ein Unbefugter als Zahler authentifiziert wird. </w:t>
            </w:r>
          </w:p>
        </w:tc>
        <w:tc>
          <w:tcPr>
            <w:tcW w:w="1362" w:type="pct"/>
            <w:tcBorders>
              <w:top w:val="single" w:sz="2" w:space="0" w:color="272727"/>
              <w:left w:val="nil"/>
              <w:bottom w:val="single" w:sz="2" w:space="0" w:color="272727"/>
              <w:right w:val="single" w:sz="48" w:space="0" w:color="FFFFFF" w:themeColor="background1"/>
            </w:tcBorders>
          </w:tcPr>
          <w:p w14:paraId="43D2CA08" w14:textId="419207FF" w:rsidR="00C1515E" w:rsidRPr="004943E7" w:rsidRDefault="00C1515E" w:rsidP="002A158B">
            <w:pPr>
              <w:pStyle w:val="TabelleText"/>
              <w:spacing w:before="240"/>
            </w:pPr>
            <w:r w:rsidRPr="004943E7">
              <w:t>Kategorie Inhärenz (etwas, das der Nutzer ist; biometrischer Sensor bspw. Fingerabdruck- oder Gesichtserkennung).</w:t>
            </w:r>
          </w:p>
        </w:tc>
        <w:tc>
          <w:tcPr>
            <w:tcW w:w="1000" w:type="pct"/>
            <w:tcBorders>
              <w:top w:val="single" w:sz="2" w:space="0" w:color="272727"/>
              <w:left w:val="single" w:sz="48" w:space="0" w:color="FFFFFF" w:themeColor="background1"/>
              <w:bottom w:val="single" w:sz="2" w:space="0" w:color="272727"/>
              <w:right w:val="nil"/>
            </w:tcBorders>
          </w:tcPr>
          <w:p w14:paraId="220781A8" w14:textId="4439E815" w:rsidR="00C1515E" w:rsidRPr="004943E7" w:rsidRDefault="00C1515E" w:rsidP="002A158B">
            <w:pPr>
              <w:pStyle w:val="TabelleText"/>
              <w:spacing w:before="240"/>
            </w:pPr>
            <w:r w:rsidRPr="004943E7">
              <w:t xml:space="preserve">Wie werden die Anforderungen an die Kategorie Inhärenz umgesetzt? </w:t>
            </w:r>
          </w:p>
          <w:p w14:paraId="089D79EA" w14:textId="1719CCBB" w:rsidR="00C1515E" w:rsidRPr="004943E7" w:rsidRDefault="00C1515E" w:rsidP="002A158B">
            <w:pPr>
              <w:pStyle w:val="TabelleText"/>
              <w:spacing w:before="240"/>
            </w:pPr>
            <w:r w:rsidRPr="004943E7">
              <w:t>Ist sichergestellt, dass die verwendeten Inhärenz-Elemente innerhalb der mobilen Anwendung aktiviert werden und zusätzlich Wissens-</w:t>
            </w:r>
            <w:r w:rsidR="008B1C27">
              <w:t>/</w:t>
            </w:r>
            <w:r w:rsidRPr="004943E7">
              <w:t>Besitz-Elemente erforderlich sind?</w:t>
            </w:r>
          </w:p>
        </w:tc>
        <w:tc>
          <w:tcPr>
            <w:tcW w:w="1000" w:type="pct"/>
            <w:tcBorders>
              <w:top w:val="single" w:sz="2" w:space="0" w:color="272727"/>
              <w:left w:val="single" w:sz="48" w:space="0" w:color="FFFFFF" w:themeColor="background1"/>
              <w:bottom w:val="single" w:sz="2" w:space="0" w:color="272727"/>
              <w:right w:val="nil"/>
            </w:tcBorders>
          </w:tcPr>
          <w:p w14:paraId="1C5AB3CB" w14:textId="1136383F" w:rsidR="00C1515E" w:rsidRPr="004943E7" w:rsidRDefault="00C1515E" w:rsidP="002A158B">
            <w:pPr>
              <w:pStyle w:val="TabelleText"/>
              <w:spacing w:before="240"/>
            </w:pPr>
            <w:r w:rsidRPr="004943E7">
              <w:t>PSD2-Zertifikate vom Dienstleister sowie dem Geräte- und Softwarehersteller einfordern.</w:t>
            </w:r>
          </w:p>
        </w:tc>
      </w:tr>
      <w:tr w:rsidR="00C1515E" w:rsidRPr="00201374" w14:paraId="06B1E924"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1151B1B9" w14:textId="2A2BDC96" w:rsidR="00C1515E" w:rsidRPr="004943E7" w:rsidRDefault="000606C2" w:rsidP="002A158B">
            <w:pPr>
              <w:pStyle w:val="TabelleText"/>
              <w:spacing w:before="240"/>
            </w:pPr>
            <w:r w:rsidRPr="004943E7">
              <w:t>(2)</w:t>
            </w:r>
          </w:p>
        </w:tc>
        <w:tc>
          <w:tcPr>
            <w:tcW w:w="1532" w:type="pct"/>
            <w:tcBorders>
              <w:top w:val="single" w:sz="2" w:space="0" w:color="272727"/>
              <w:left w:val="nil"/>
              <w:bottom w:val="single" w:sz="2" w:space="0" w:color="272727"/>
              <w:right w:val="single" w:sz="48" w:space="0" w:color="FFFFFF" w:themeColor="background1"/>
            </w:tcBorders>
          </w:tcPr>
          <w:p w14:paraId="4AA9B97D" w14:textId="254E0D31" w:rsidR="00C1515E" w:rsidRPr="004943E7" w:rsidRDefault="00C1515E" w:rsidP="002A158B">
            <w:pPr>
              <w:pStyle w:val="TabelleText"/>
              <w:spacing w:before="240"/>
            </w:pPr>
            <w:r w:rsidRPr="004943E7">
              <w:t>Für die Verwendung dieser Elemente durch den Zahler sind Maßnahmen zu treffen, die sicherstellen, dass diese Geräte und die Software bei einem unbefugten Zugriff auf sie die unbefugte Verwendung der Elemente nicht zulassen.</w:t>
            </w:r>
          </w:p>
        </w:tc>
        <w:tc>
          <w:tcPr>
            <w:tcW w:w="1362" w:type="pct"/>
            <w:tcBorders>
              <w:top w:val="single" w:sz="2" w:space="0" w:color="272727"/>
              <w:left w:val="nil"/>
              <w:bottom w:val="single" w:sz="2" w:space="0" w:color="272727"/>
              <w:right w:val="single" w:sz="48" w:space="0" w:color="FFFFFF" w:themeColor="background1"/>
            </w:tcBorders>
          </w:tcPr>
          <w:p w14:paraId="6C3DBC4F" w14:textId="0C0D197D" w:rsidR="00C1515E" w:rsidRPr="004943E7" w:rsidRDefault="00C1515E" w:rsidP="002A158B">
            <w:pPr>
              <w:pStyle w:val="TabelleText"/>
              <w:spacing w:before="240"/>
            </w:pPr>
            <w:r w:rsidRPr="004943E7">
              <w:t>Für die Nutzung dieser Elemente durch den Zahler sind Maßnahmen zu treffen, damit Geräte und Software bei unbefugtem Zugriff keine unbefugte Verwendung dieser Elemente zulassen.</w:t>
            </w:r>
          </w:p>
        </w:tc>
        <w:tc>
          <w:tcPr>
            <w:tcW w:w="1000" w:type="pct"/>
            <w:tcBorders>
              <w:top w:val="single" w:sz="2" w:space="0" w:color="272727"/>
              <w:left w:val="single" w:sz="48" w:space="0" w:color="FFFFFF" w:themeColor="background1"/>
              <w:bottom w:val="single" w:sz="2" w:space="0" w:color="272727"/>
              <w:right w:val="nil"/>
            </w:tcBorders>
          </w:tcPr>
          <w:p w14:paraId="176E22FB" w14:textId="57592C87" w:rsidR="00C1515E" w:rsidRPr="004943E7" w:rsidRDefault="00C1515E" w:rsidP="002A158B">
            <w:pPr>
              <w:pStyle w:val="TabelleText"/>
              <w:spacing w:before="240"/>
            </w:pPr>
            <w:r w:rsidRPr="004943E7">
              <w:t>Wie wird sichergestellt, dass Geräte und Software bei unbefugtem Zugriff eine unbefugte Verwendung von Inhärenz</w:t>
            </w:r>
            <w:r w:rsidRPr="004943E7">
              <w:noBreakHyphen/>
              <w:t>Elementen nicht zulassen (Sperr-/Schutzmechanismen, Zugriffskontrollen, Ausnahmelogik)?</w:t>
            </w:r>
          </w:p>
        </w:tc>
        <w:tc>
          <w:tcPr>
            <w:tcW w:w="1000" w:type="pct"/>
            <w:tcBorders>
              <w:top w:val="single" w:sz="2" w:space="0" w:color="272727"/>
              <w:left w:val="single" w:sz="48" w:space="0" w:color="FFFFFF" w:themeColor="background1"/>
              <w:bottom w:val="single" w:sz="2" w:space="0" w:color="272727"/>
              <w:right w:val="nil"/>
            </w:tcBorders>
          </w:tcPr>
          <w:p w14:paraId="7740A975" w14:textId="77777777" w:rsidR="00C1515E" w:rsidRPr="004943E7" w:rsidRDefault="00C1515E" w:rsidP="002A158B">
            <w:pPr>
              <w:pStyle w:val="TabelleText"/>
              <w:spacing w:before="240"/>
            </w:pPr>
          </w:p>
        </w:tc>
      </w:tr>
      <w:tr w:rsidR="002A158B" w:rsidRPr="00201374" w14:paraId="3AF96DA6" w14:textId="77777777" w:rsidTr="002A158B">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63EA9F98" w14:textId="061BAFB9" w:rsidR="002A158B" w:rsidRPr="002A158B" w:rsidRDefault="002A158B" w:rsidP="002A158B">
            <w:pPr>
              <w:pStyle w:val="TabelleText"/>
              <w:spacing w:before="240"/>
              <w:rPr>
                <w:b/>
                <w:bCs/>
              </w:rPr>
            </w:pPr>
            <w:r w:rsidRPr="002A158B">
              <w:rPr>
                <w:b/>
                <w:bCs/>
              </w:rPr>
              <w:lastRenderedPageBreak/>
              <w:t>Artikel 9 - Unabhängigkeit der Elemente</w:t>
            </w:r>
          </w:p>
        </w:tc>
      </w:tr>
      <w:tr w:rsidR="00C1515E" w:rsidRPr="00201374" w14:paraId="2A1854DB"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64D0E58F" w14:textId="46823883" w:rsidR="00C1515E" w:rsidRPr="004943E7" w:rsidRDefault="000606C2" w:rsidP="002A158B">
            <w:pPr>
              <w:pStyle w:val="TabelleText"/>
              <w:spacing w:before="240"/>
            </w:pPr>
            <w:r w:rsidRPr="004943E7">
              <w:t>(1)</w:t>
            </w:r>
          </w:p>
        </w:tc>
        <w:tc>
          <w:tcPr>
            <w:tcW w:w="1532" w:type="pct"/>
            <w:tcBorders>
              <w:top w:val="single" w:sz="2" w:space="0" w:color="272727"/>
              <w:left w:val="nil"/>
              <w:bottom w:val="single" w:sz="2" w:space="0" w:color="272727"/>
              <w:right w:val="single" w:sz="48" w:space="0" w:color="FFFFFF" w:themeColor="background1"/>
            </w:tcBorders>
          </w:tcPr>
          <w:p w14:paraId="200C0EEB" w14:textId="130E25A4" w:rsidR="00C1515E" w:rsidRPr="004943E7" w:rsidRDefault="00C1515E" w:rsidP="002A158B">
            <w:pPr>
              <w:pStyle w:val="TabelleText"/>
              <w:spacing w:before="240"/>
            </w:pPr>
            <w:r w:rsidRPr="004943E7">
              <w:t xml:space="preserve">Die Zahlungsdienstleister gewährleisten, dass für die Verwendung der in den Art. 6, 7 und 8 genannten Elemente der starken Kundenauthentifizierung Maßnahmen gelten, die sicherstellen, dass hinsichtlich Technologie, Algorithmen und Parametern bei Verletzung eines der Elemente die Zuverlässigkeit der anderen Elemente nicht beeinträchtigt wird. </w:t>
            </w:r>
          </w:p>
        </w:tc>
        <w:tc>
          <w:tcPr>
            <w:tcW w:w="1362" w:type="pct"/>
            <w:tcBorders>
              <w:top w:val="single" w:sz="2" w:space="0" w:color="272727"/>
              <w:left w:val="nil"/>
              <w:bottom w:val="single" w:sz="2" w:space="0" w:color="272727"/>
              <w:right w:val="single" w:sz="48" w:space="0" w:color="FFFFFF" w:themeColor="background1"/>
            </w:tcBorders>
          </w:tcPr>
          <w:p w14:paraId="683B5D2A" w14:textId="3823284E" w:rsidR="00C1515E" w:rsidRPr="004943E7" w:rsidRDefault="00C1515E" w:rsidP="002A158B">
            <w:pPr>
              <w:pStyle w:val="TabelleText"/>
              <w:spacing w:before="240"/>
            </w:pPr>
            <w:r w:rsidRPr="004943E7">
              <w:t>Mehrzweckgerät: Eingabe und Freigabe der Zahlung auf einem Gerät (Tablet, Handy).</w:t>
            </w:r>
          </w:p>
          <w:p w14:paraId="487203E7" w14:textId="77777777" w:rsidR="00C1515E" w:rsidRPr="004943E7" w:rsidRDefault="00C1515E" w:rsidP="002A158B">
            <w:pPr>
              <w:pStyle w:val="TabelleText"/>
              <w:spacing w:before="240"/>
            </w:pPr>
            <w:r w:rsidRPr="004943E7">
              <w:t>Ein Bruch eines Elements darf nicht die anderen Elemente gefährden.</w:t>
            </w:r>
          </w:p>
          <w:p w14:paraId="09A5117C" w14:textId="03253C09" w:rsidR="00C1515E" w:rsidRPr="004943E7" w:rsidRDefault="00C1515E" w:rsidP="002A158B">
            <w:pPr>
              <w:pStyle w:val="TabelleText"/>
              <w:spacing w:before="240"/>
            </w:pPr>
            <w:r w:rsidRPr="004943E7">
              <w:t>Die Authentifizierungselemente (Wissen, Besitz, Inhärenz) müssen voneinander unabhängig sein. Die Beeinträchtigung eines einzelnen Elements darf nicht die Zuverlässigkeit der übrigen Elemente beeinträchtigen.</w:t>
            </w:r>
          </w:p>
        </w:tc>
        <w:tc>
          <w:tcPr>
            <w:tcW w:w="1000" w:type="pct"/>
            <w:tcBorders>
              <w:top w:val="single" w:sz="2" w:space="0" w:color="272727"/>
              <w:left w:val="single" w:sz="48" w:space="0" w:color="FFFFFF" w:themeColor="background1"/>
              <w:bottom w:val="single" w:sz="2" w:space="0" w:color="272727"/>
              <w:right w:val="nil"/>
            </w:tcBorders>
          </w:tcPr>
          <w:p w14:paraId="13EBCC14" w14:textId="37CDF7CD" w:rsidR="00C1515E" w:rsidRPr="004943E7" w:rsidRDefault="00C1515E" w:rsidP="002A158B">
            <w:pPr>
              <w:pStyle w:val="TabelleText"/>
              <w:spacing w:before="240"/>
            </w:pPr>
            <w:r w:rsidRPr="004943E7">
              <w:t>Prüfung des fachlichen und technischen Konzeptes für Karten- und Electronic-Banking-Zahlungen.</w:t>
            </w:r>
          </w:p>
          <w:p w14:paraId="30A0D0DD" w14:textId="73A8478A" w:rsidR="00C1515E" w:rsidRPr="004943E7" w:rsidRDefault="00C1515E" w:rsidP="002A158B">
            <w:pPr>
              <w:pStyle w:val="TabelleText"/>
              <w:spacing w:before="240"/>
            </w:pPr>
            <w:r w:rsidRPr="004943E7">
              <w:t>Prüfung der technischen Umsetzung und Bewertung der Angemessenheit (Ggf. Zertifikate von Geräte- und Softwareherstellern einfordern).</w:t>
            </w:r>
          </w:p>
          <w:p w14:paraId="247971B9" w14:textId="77777777" w:rsidR="00C1515E" w:rsidRPr="004943E7" w:rsidRDefault="00C1515E" w:rsidP="002A158B">
            <w:pPr>
              <w:pStyle w:val="TabelleText"/>
              <w:spacing w:before="240"/>
            </w:pPr>
            <w:r w:rsidRPr="004943E7">
              <w:t>Beispiel:</w:t>
            </w:r>
          </w:p>
          <w:p w14:paraId="1C9C79CC" w14:textId="467CE82E" w:rsidR="00C1515E" w:rsidRPr="004943E7" w:rsidRDefault="00C1515E" w:rsidP="002A158B">
            <w:pPr>
              <w:pStyle w:val="TabelleText"/>
              <w:spacing w:before="240"/>
            </w:pPr>
            <w:r w:rsidRPr="004943E7">
              <w:t>Es ist zu prüfen, ob die Beeinträchtigung der User-ID und der PIN keinen unautorisierten Zugriff auf die unterschiedlichen Kanäle ermöglicht, da zusätzlich das Besitz-Element erforderlich ist.</w:t>
            </w:r>
          </w:p>
        </w:tc>
        <w:tc>
          <w:tcPr>
            <w:tcW w:w="1000" w:type="pct"/>
            <w:tcBorders>
              <w:top w:val="single" w:sz="2" w:space="0" w:color="272727"/>
              <w:left w:val="single" w:sz="48" w:space="0" w:color="FFFFFF" w:themeColor="background1"/>
              <w:bottom w:val="single" w:sz="2" w:space="0" w:color="272727"/>
              <w:right w:val="nil"/>
            </w:tcBorders>
          </w:tcPr>
          <w:p w14:paraId="39F93FFB" w14:textId="57243799" w:rsidR="00C1515E" w:rsidRPr="004943E7" w:rsidRDefault="00C1515E" w:rsidP="002A158B">
            <w:pPr>
              <w:pStyle w:val="TabelleText"/>
              <w:spacing w:before="240"/>
            </w:pPr>
            <w:r w:rsidRPr="004943E7">
              <w:t>PSD2-Zertifikate vom Dienstleister sowie dem Geräte- und Softwarehersteller einfordern.</w:t>
            </w:r>
          </w:p>
        </w:tc>
      </w:tr>
      <w:tr w:rsidR="00C1515E" w:rsidRPr="00201374" w14:paraId="00E262F9"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41E21E55" w14:textId="77777777" w:rsidR="000606C2" w:rsidRPr="004943E7" w:rsidRDefault="000606C2" w:rsidP="002A158B">
            <w:pPr>
              <w:pStyle w:val="TabelleText"/>
              <w:spacing w:before="240"/>
            </w:pPr>
            <w:r w:rsidRPr="004943E7">
              <w:t>(2)</w:t>
            </w:r>
          </w:p>
          <w:p w14:paraId="495D4DA2" w14:textId="77777777" w:rsidR="00C1515E" w:rsidRPr="004943E7" w:rsidRDefault="00C1515E" w:rsidP="002A158B">
            <w:pPr>
              <w:pStyle w:val="TabelleText"/>
              <w:spacing w:before="240"/>
            </w:pPr>
          </w:p>
        </w:tc>
        <w:tc>
          <w:tcPr>
            <w:tcW w:w="1532" w:type="pct"/>
            <w:tcBorders>
              <w:top w:val="single" w:sz="2" w:space="0" w:color="272727"/>
              <w:left w:val="nil"/>
              <w:bottom w:val="single" w:sz="2" w:space="0" w:color="272727"/>
              <w:right w:val="single" w:sz="48" w:space="0" w:color="FFFFFF" w:themeColor="background1"/>
            </w:tcBorders>
          </w:tcPr>
          <w:p w14:paraId="6DFA244F" w14:textId="080A0A52" w:rsidR="00C1515E" w:rsidRPr="004943E7" w:rsidRDefault="00C1515E" w:rsidP="002A158B">
            <w:pPr>
              <w:pStyle w:val="TabelleText"/>
              <w:spacing w:before="240"/>
            </w:pPr>
            <w:r w:rsidRPr="004943E7">
              <w:t>Wenn eines der Elemente der starken Kundenauthentifizierung oder der Authentifizierungscode selbst von einem Mehrzweckgerät verwendet wird, sehen die Zahlungsdienstleister Sicherheitsmaßnahmen zur Minderung des Risikos vor, das aus der missbräuchlichen Verwendung eines solchen Mehrzweckgeräts erwachsen würde.</w:t>
            </w:r>
          </w:p>
        </w:tc>
        <w:tc>
          <w:tcPr>
            <w:tcW w:w="1362" w:type="pct"/>
            <w:tcBorders>
              <w:top w:val="single" w:sz="2" w:space="0" w:color="272727"/>
              <w:left w:val="nil"/>
              <w:bottom w:val="single" w:sz="2" w:space="0" w:color="272727"/>
              <w:right w:val="single" w:sz="48" w:space="0" w:color="FFFFFF" w:themeColor="background1"/>
            </w:tcBorders>
          </w:tcPr>
          <w:p w14:paraId="304FE49C" w14:textId="40E40E6C" w:rsidR="00C1515E" w:rsidRPr="004943E7" w:rsidRDefault="00C1515E" w:rsidP="002A158B">
            <w:pPr>
              <w:pStyle w:val="TabelleText"/>
              <w:spacing w:before="240"/>
            </w:pPr>
            <w:r w:rsidRPr="004943E7">
              <w:t xml:space="preserve">Zahlungsdienstleister haben Sicherheitsmaßnahmen zu implementieren für den Fall der Nutzung von Mehrzweckgeräten durch die Kunden. </w:t>
            </w:r>
          </w:p>
        </w:tc>
        <w:tc>
          <w:tcPr>
            <w:tcW w:w="1000" w:type="pct"/>
            <w:tcBorders>
              <w:top w:val="single" w:sz="2" w:space="0" w:color="272727"/>
              <w:left w:val="single" w:sz="48" w:space="0" w:color="FFFFFF" w:themeColor="background1"/>
              <w:bottom w:val="single" w:sz="2" w:space="0" w:color="272727"/>
              <w:right w:val="nil"/>
            </w:tcBorders>
          </w:tcPr>
          <w:p w14:paraId="630799D4" w14:textId="19CD71B2" w:rsidR="00C1515E" w:rsidRPr="004943E7" w:rsidRDefault="00C1515E" w:rsidP="002A158B">
            <w:pPr>
              <w:pStyle w:val="TabelleText"/>
              <w:spacing w:before="240"/>
            </w:pPr>
            <w:r w:rsidRPr="004943E7">
              <w:t>Was hat der Zahlungsdienstleister als Mehrzweckgerät (bspw. Smartphone, I-Pad, PC) definiert?</w:t>
            </w:r>
          </w:p>
          <w:p w14:paraId="1F6C9718" w14:textId="798F772D" w:rsidR="00C1515E" w:rsidRPr="004943E7" w:rsidRDefault="00C1515E" w:rsidP="002A158B">
            <w:pPr>
              <w:pStyle w:val="TabelleText"/>
              <w:spacing w:before="240"/>
            </w:pPr>
            <w:r w:rsidRPr="004943E7">
              <w:t>Welche Mehrzweckgeräte können durch Kunden genutzt werden?</w:t>
            </w:r>
          </w:p>
          <w:p w14:paraId="5C89B4E3" w14:textId="0FDBFE6C" w:rsidR="00C1515E" w:rsidRPr="004943E7" w:rsidRDefault="00C1515E" w:rsidP="002A158B">
            <w:pPr>
              <w:pStyle w:val="TabelleText"/>
              <w:spacing w:before="240"/>
            </w:pPr>
            <w:r w:rsidRPr="004943E7">
              <w:lastRenderedPageBreak/>
              <w:t>Welche Maßnahmen hat der Zahlungsdienstleister zur Minderung des Risikos, das aus der missbräuchlichen Verwendung eines Mehrzweckgerätes erwächst, implementiert?</w:t>
            </w:r>
          </w:p>
          <w:p w14:paraId="0401FC88" w14:textId="043AB167" w:rsidR="00C1515E" w:rsidRPr="004943E7" w:rsidRDefault="00C1515E" w:rsidP="002A158B">
            <w:pPr>
              <w:pStyle w:val="TabelleText"/>
              <w:spacing w:before="240"/>
            </w:pPr>
            <w:r w:rsidRPr="004943E7">
              <w:t>Sind die Sicherheitsmaßnahmen dokumentiert?</w:t>
            </w:r>
          </w:p>
        </w:tc>
        <w:tc>
          <w:tcPr>
            <w:tcW w:w="1000" w:type="pct"/>
            <w:tcBorders>
              <w:top w:val="single" w:sz="2" w:space="0" w:color="272727"/>
              <w:left w:val="single" w:sz="48" w:space="0" w:color="FFFFFF" w:themeColor="background1"/>
              <w:bottom w:val="single" w:sz="2" w:space="0" w:color="272727"/>
              <w:right w:val="nil"/>
            </w:tcBorders>
          </w:tcPr>
          <w:p w14:paraId="5B41A84C" w14:textId="77777777" w:rsidR="00C1515E" w:rsidRPr="004943E7" w:rsidRDefault="00C1515E" w:rsidP="002A158B">
            <w:pPr>
              <w:pStyle w:val="TabelleText"/>
              <w:spacing w:before="240"/>
            </w:pPr>
          </w:p>
        </w:tc>
      </w:tr>
      <w:tr w:rsidR="00C1515E" w:rsidRPr="00201374" w14:paraId="2CD98159" w14:textId="77777777" w:rsidTr="00C1515E">
        <w:trPr>
          <w:trHeight w:val="63"/>
        </w:trPr>
        <w:tc>
          <w:tcPr>
            <w:tcW w:w="106" w:type="pct"/>
            <w:tcBorders>
              <w:top w:val="single" w:sz="2" w:space="0" w:color="272727"/>
              <w:left w:val="nil"/>
              <w:bottom w:val="single" w:sz="2" w:space="0" w:color="272727"/>
              <w:right w:val="single" w:sz="48" w:space="0" w:color="FFFFFF" w:themeColor="background1"/>
            </w:tcBorders>
          </w:tcPr>
          <w:p w14:paraId="3CA84257" w14:textId="77777777" w:rsidR="000606C2" w:rsidRPr="004943E7" w:rsidRDefault="000606C2" w:rsidP="002A158B">
            <w:pPr>
              <w:pStyle w:val="TabelleText"/>
              <w:spacing w:before="240"/>
            </w:pPr>
            <w:r w:rsidRPr="004943E7">
              <w:t>(3)</w:t>
            </w:r>
          </w:p>
          <w:p w14:paraId="6861D9C6" w14:textId="77777777" w:rsidR="00C1515E" w:rsidRPr="004943E7" w:rsidRDefault="00C1515E" w:rsidP="002A158B">
            <w:pPr>
              <w:pStyle w:val="TabelleText"/>
              <w:spacing w:before="240"/>
            </w:pPr>
          </w:p>
        </w:tc>
        <w:tc>
          <w:tcPr>
            <w:tcW w:w="1532" w:type="pct"/>
            <w:tcBorders>
              <w:top w:val="single" w:sz="2" w:space="0" w:color="272727"/>
              <w:left w:val="nil"/>
              <w:bottom w:val="single" w:sz="2" w:space="0" w:color="272727"/>
              <w:right w:val="single" w:sz="48" w:space="0" w:color="FFFFFF" w:themeColor="background1"/>
            </w:tcBorders>
          </w:tcPr>
          <w:p w14:paraId="6C3F0C2D" w14:textId="05BC3F7E" w:rsidR="00C1515E" w:rsidRPr="004943E7" w:rsidRDefault="00C1515E" w:rsidP="002A158B">
            <w:pPr>
              <w:pStyle w:val="TabelleText"/>
              <w:spacing w:before="240"/>
            </w:pPr>
            <w:r w:rsidRPr="004943E7">
              <w:t xml:space="preserve">Für die Zwecke des Abs. 2 beinhalten die Risikominderungsmaßnahmen alle folgenden Komponenten: </w:t>
            </w:r>
          </w:p>
          <w:p w14:paraId="5D4E8000" w14:textId="21DC787A" w:rsidR="00C1515E" w:rsidRPr="004943E7" w:rsidRDefault="00C1515E" w:rsidP="002A158B">
            <w:pPr>
              <w:pStyle w:val="TabelleText"/>
              <w:spacing w:before="240"/>
            </w:pPr>
            <w:r w:rsidRPr="004943E7">
              <w:t xml:space="preserve">a) Nutzung getrennter sicherer Ausführungsumgebungen durch die im Mehrzweckgerät installierte Software; </w:t>
            </w:r>
          </w:p>
          <w:p w14:paraId="0F1EF40C" w14:textId="2206A089" w:rsidR="00C1515E" w:rsidRPr="004943E7" w:rsidRDefault="00C1515E" w:rsidP="002A158B">
            <w:pPr>
              <w:pStyle w:val="TabelleText"/>
              <w:spacing w:before="240"/>
            </w:pPr>
            <w:r w:rsidRPr="004943E7">
              <w:t xml:space="preserve">b) Mechanismen, mit denen sichergestellt wird, dass die Software oder das Gerät vom Zahler oder einem Dritten nicht verändert wurde; </w:t>
            </w:r>
          </w:p>
          <w:p w14:paraId="556A5B96" w14:textId="3185269C" w:rsidR="00C1515E" w:rsidRPr="004943E7" w:rsidRDefault="00C1515E" w:rsidP="002A158B">
            <w:pPr>
              <w:pStyle w:val="TabelleText"/>
              <w:spacing w:before="240"/>
            </w:pPr>
            <w:r w:rsidRPr="004943E7">
              <w:t>c) sofern Veränderungen stattgefunden haben, Mechanismen zur Eindämmung von deren Folgen.</w:t>
            </w:r>
          </w:p>
        </w:tc>
        <w:tc>
          <w:tcPr>
            <w:tcW w:w="1362" w:type="pct"/>
            <w:tcBorders>
              <w:top w:val="single" w:sz="2" w:space="0" w:color="272727"/>
              <w:left w:val="nil"/>
              <w:bottom w:val="single" w:sz="2" w:space="0" w:color="272727"/>
              <w:right w:val="single" w:sz="48" w:space="0" w:color="FFFFFF" w:themeColor="background1"/>
            </w:tcBorders>
          </w:tcPr>
          <w:p w14:paraId="6C485C6F" w14:textId="5DA9FBDA" w:rsidR="00C1515E" w:rsidRPr="004943E7" w:rsidRDefault="00C1515E" w:rsidP="002A158B">
            <w:pPr>
              <w:pStyle w:val="TabelleText"/>
              <w:spacing w:before="240"/>
            </w:pPr>
            <w:r w:rsidRPr="004943E7">
              <w:t>Komponenten der Risikominderungsmaßnahmen gemäß Absatz 2.</w:t>
            </w:r>
          </w:p>
        </w:tc>
        <w:tc>
          <w:tcPr>
            <w:tcW w:w="1000" w:type="pct"/>
            <w:tcBorders>
              <w:top w:val="single" w:sz="2" w:space="0" w:color="272727"/>
              <w:left w:val="single" w:sz="48" w:space="0" w:color="FFFFFF" w:themeColor="background1"/>
              <w:bottom w:val="single" w:sz="2" w:space="0" w:color="272727"/>
              <w:right w:val="nil"/>
            </w:tcBorders>
          </w:tcPr>
          <w:p w14:paraId="242AF5AA" w14:textId="734974CB" w:rsidR="00C1515E" w:rsidRPr="004943E7" w:rsidRDefault="00C1515E" w:rsidP="002A158B">
            <w:pPr>
              <w:pStyle w:val="TabelleText"/>
              <w:spacing w:before="240"/>
            </w:pPr>
            <w:r w:rsidRPr="004943E7">
              <w:t>a) Wird bspw. eine separierte, sichere Ausführungsumgebung softwareseitig gewährleistet, da Inhärenz-Elemente (z. B. Fingerabdruck- oder Gesichtserkennung) durch Software verwaltet werden, die Bestandteil des Betriebssystems des Mobiltelefons ist und unabhängig von der Mobile-Banking-Anwendungssoftware arbeitet?</w:t>
            </w:r>
          </w:p>
          <w:p w14:paraId="0A2F261E" w14:textId="64128575" w:rsidR="00C1515E" w:rsidRPr="004943E7" w:rsidRDefault="00C1515E" w:rsidP="002A158B">
            <w:pPr>
              <w:pStyle w:val="TabelleText"/>
              <w:spacing w:before="240"/>
            </w:pPr>
            <w:r w:rsidRPr="004943E7">
              <w:t xml:space="preserve">b) Welche Mechanismen sind implementiert, zur Sicherstellung, dass die Software oder das Gerät nicht manipuliert wurden? Hier z. B. zu hinterfragen: </w:t>
            </w:r>
          </w:p>
          <w:p w14:paraId="28DE71C3" w14:textId="3596C121" w:rsidR="00C1515E" w:rsidRPr="004943E7" w:rsidRDefault="00C1515E" w:rsidP="002A158B">
            <w:pPr>
              <w:pStyle w:val="TabelleText"/>
              <w:spacing w:before="240"/>
            </w:pPr>
            <w:r w:rsidRPr="004943E7">
              <w:t xml:space="preserve">- Ist die Mobile-Banking-Anwendung beispielsweise </w:t>
            </w:r>
            <w:r w:rsidRPr="004943E7">
              <w:lastRenderedPageBreak/>
              <w:t>ausschließlich über die offiziellen Stores (z. B. Apple, Google, Microsoft) verfügbar?</w:t>
            </w:r>
          </w:p>
          <w:p w14:paraId="51F68405" w14:textId="737BF0D8" w:rsidR="00C1515E" w:rsidRPr="004943E7" w:rsidRDefault="00C1515E" w:rsidP="002A158B">
            <w:pPr>
              <w:pStyle w:val="TabelleText"/>
              <w:spacing w:before="240"/>
            </w:pPr>
            <w:r w:rsidRPr="004943E7">
              <w:t>- Sind in der mobilen Anwendung Integritätsprüfungen implementiert?</w:t>
            </w:r>
          </w:p>
          <w:p w14:paraId="79338B68" w14:textId="77777777" w:rsidR="00C1515E" w:rsidRPr="004943E7" w:rsidRDefault="00C1515E" w:rsidP="002A158B">
            <w:pPr>
              <w:pStyle w:val="TabelleText"/>
              <w:spacing w:before="240"/>
              <w:rPr>
                <w:highlight w:val="yellow"/>
              </w:rPr>
            </w:pPr>
            <w:r w:rsidRPr="004943E7">
              <w:t>c) Weist der Zahlungsdienstleister Kunden an mehreren Stellen darauf hin, die Anwendung ausschließlich über offizielle Stores herunterzuladen und dabei ausschließlich Geräte zu verwenden, die frei von Schadsoftware und sicherheitsrelevanten Manipulationen sind?</w:t>
            </w:r>
          </w:p>
          <w:p w14:paraId="2F0F1173" w14:textId="5AB46614" w:rsidR="00C1515E" w:rsidRPr="004943E7" w:rsidRDefault="00C1515E" w:rsidP="002A158B">
            <w:pPr>
              <w:pStyle w:val="TabelleText"/>
              <w:spacing w:before="240"/>
            </w:pPr>
            <w:r w:rsidRPr="004943E7">
              <w:t>Unterliegt die Mobile-Banking-Anwendung regelmäßigen Penetrationstests?</w:t>
            </w:r>
          </w:p>
        </w:tc>
        <w:tc>
          <w:tcPr>
            <w:tcW w:w="1000" w:type="pct"/>
            <w:tcBorders>
              <w:top w:val="single" w:sz="2" w:space="0" w:color="272727"/>
              <w:left w:val="single" w:sz="48" w:space="0" w:color="FFFFFF" w:themeColor="background1"/>
              <w:bottom w:val="single" w:sz="2" w:space="0" w:color="272727"/>
              <w:right w:val="nil"/>
            </w:tcBorders>
          </w:tcPr>
          <w:p w14:paraId="701D3DD1" w14:textId="77777777" w:rsidR="00C1515E" w:rsidRPr="004943E7" w:rsidRDefault="00C1515E" w:rsidP="002A158B">
            <w:pPr>
              <w:pStyle w:val="TabelleText"/>
              <w:spacing w:before="240"/>
            </w:pPr>
          </w:p>
        </w:tc>
      </w:tr>
    </w:tbl>
    <w:p w14:paraId="5B7196A7" w14:textId="65E11688" w:rsidR="005744E4" w:rsidRPr="00201374" w:rsidRDefault="006A0024" w:rsidP="006A0024">
      <w:pPr>
        <w:pStyle w:val="berschrift1"/>
        <w:rPr>
          <w:rFonts w:cs="Arial"/>
        </w:rPr>
      </w:pPr>
      <w:bookmarkStart w:id="8" w:name="_Toc240029082"/>
      <w:bookmarkStart w:id="9" w:name="_Toc240360283"/>
      <w:r w:rsidRPr="00201374">
        <w:rPr>
          <w:rFonts w:cs="Arial"/>
        </w:rPr>
        <w:lastRenderedPageBreak/>
        <w:t>Ausnahmen von der starken Kundenauthentifizierung</w:t>
      </w:r>
      <w:bookmarkEnd w:id="8"/>
      <w:bookmarkEnd w:id="9"/>
    </w:p>
    <w:tbl>
      <w:tblPr>
        <w:tblStyle w:val="Tabellenraster"/>
        <w:tblW w:w="5000" w:type="pct"/>
        <w:tblLayout w:type="fixed"/>
        <w:tblCellMar>
          <w:left w:w="0" w:type="dxa"/>
          <w:right w:w="0" w:type="dxa"/>
        </w:tblCellMar>
        <w:tblLook w:val="0620" w:firstRow="1" w:lastRow="0" w:firstColumn="0" w:lastColumn="0" w:noHBand="1" w:noVBand="1"/>
      </w:tblPr>
      <w:tblGrid>
        <w:gridCol w:w="284"/>
        <w:gridCol w:w="4110"/>
        <w:gridCol w:w="3684"/>
        <w:gridCol w:w="2694"/>
        <w:gridCol w:w="2643"/>
      </w:tblGrid>
      <w:tr w:rsidR="003738F5" w:rsidRPr="00201374" w14:paraId="6403E500" w14:textId="77777777" w:rsidTr="00BC00BF">
        <w:trPr>
          <w:trHeight w:val="177"/>
          <w:tblHeader/>
        </w:trPr>
        <w:tc>
          <w:tcPr>
            <w:tcW w:w="1638" w:type="pct"/>
            <w:gridSpan w:val="2"/>
            <w:tcBorders>
              <w:top w:val="single" w:sz="12" w:space="0" w:color="272727"/>
              <w:left w:val="nil"/>
              <w:bottom w:val="single" w:sz="8" w:space="0" w:color="272727"/>
              <w:right w:val="single" w:sz="48" w:space="0" w:color="FFFFFF" w:themeColor="background1"/>
            </w:tcBorders>
          </w:tcPr>
          <w:p w14:paraId="2286C626" w14:textId="39B74F49" w:rsidR="0088418E" w:rsidRPr="00201374" w:rsidRDefault="0088418E" w:rsidP="006A533E">
            <w:pPr>
              <w:pStyle w:val="Tabelleberschrift2"/>
              <w:rPr>
                <w:rFonts w:cs="Arial"/>
              </w:rPr>
            </w:pPr>
            <w:bookmarkStart w:id="10" w:name="_Toc307860006"/>
            <w:bookmarkStart w:id="11" w:name="_Toc307860109"/>
            <w:bookmarkStart w:id="12" w:name="_Toc307862432"/>
            <w:bookmarkStart w:id="13" w:name="_Toc307866125"/>
            <w:bookmarkStart w:id="14" w:name="_Toc307866582"/>
            <w:bookmarkStart w:id="15" w:name="_Toc307867124"/>
            <w:bookmarkStart w:id="16" w:name="_Toc307869427"/>
            <w:r w:rsidRPr="00201374">
              <w:rPr>
                <w:rFonts w:cs="Arial"/>
              </w:rPr>
              <w:t>Artikel</w:t>
            </w:r>
          </w:p>
        </w:tc>
        <w:tc>
          <w:tcPr>
            <w:tcW w:w="1373" w:type="pct"/>
            <w:tcBorders>
              <w:top w:val="single" w:sz="12" w:space="0" w:color="272727"/>
              <w:left w:val="single" w:sz="48" w:space="0" w:color="FFFFFF" w:themeColor="background1"/>
              <w:bottom w:val="single" w:sz="8" w:space="0" w:color="272727"/>
              <w:right w:val="single" w:sz="48" w:space="0" w:color="FFFFFF" w:themeColor="background1"/>
            </w:tcBorders>
          </w:tcPr>
          <w:p w14:paraId="276C6E42" w14:textId="692398D4" w:rsidR="0088418E" w:rsidRPr="00201374" w:rsidRDefault="0088418E" w:rsidP="006A533E">
            <w:pPr>
              <w:pStyle w:val="Tabelleberschrift2"/>
              <w:rPr>
                <w:rFonts w:cs="Arial"/>
              </w:rPr>
            </w:pPr>
            <w:r w:rsidRPr="00201374">
              <w:rPr>
                <w:rFonts w:cs="Arial"/>
              </w:rPr>
              <w:t>Wesentliche Inhalte/ergänzende Erläuterungen</w:t>
            </w:r>
          </w:p>
        </w:tc>
        <w:tc>
          <w:tcPr>
            <w:tcW w:w="1004" w:type="pct"/>
            <w:tcBorders>
              <w:top w:val="single" w:sz="12" w:space="0" w:color="272727"/>
              <w:left w:val="single" w:sz="48" w:space="0" w:color="FFFFFF" w:themeColor="background1"/>
              <w:bottom w:val="single" w:sz="8" w:space="0" w:color="272727"/>
              <w:right w:val="nil"/>
            </w:tcBorders>
          </w:tcPr>
          <w:p w14:paraId="05CE9446" w14:textId="09759357" w:rsidR="0088418E" w:rsidRPr="00201374" w:rsidRDefault="0088418E" w:rsidP="00BC00BF">
            <w:pPr>
              <w:pStyle w:val="Tabelleberschrift2"/>
              <w:ind w:left="237"/>
              <w:rPr>
                <w:rFonts w:cs="Arial"/>
              </w:rPr>
            </w:pPr>
            <w:r w:rsidRPr="00201374">
              <w:rPr>
                <w:rFonts w:cs="Arial"/>
              </w:rPr>
              <w:t>Prüfungsvorschläge und</w:t>
            </w:r>
            <w:r w:rsidR="00BC00BF">
              <w:rPr>
                <w:rFonts w:cs="Arial"/>
              </w:rPr>
              <w:t xml:space="preserve"> </w:t>
            </w:r>
            <w:r w:rsidRPr="00201374">
              <w:rPr>
                <w:rFonts w:cs="Arial"/>
              </w:rPr>
              <w:t>Fragestellungen</w:t>
            </w:r>
          </w:p>
        </w:tc>
        <w:tc>
          <w:tcPr>
            <w:tcW w:w="985" w:type="pct"/>
            <w:tcBorders>
              <w:top w:val="single" w:sz="12" w:space="0" w:color="272727"/>
              <w:left w:val="single" w:sz="48" w:space="0" w:color="FFFFFF" w:themeColor="background1"/>
              <w:bottom w:val="single" w:sz="8" w:space="0" w:color="272727"/>
              <w:right w:val="nil"/>
            </w:tcBorders>
          </w:tcPr>
          <w:p w14:paraId="611B010B" w14:textId="7281B203" w:rsidR="0088418E" w:rsidRPr="00201374" w:rsidRDefault="0088418E" w:rsidP="006A533E">
            <w:pPr>
              <w:pStyle w:val="Tabelleberschrift2"/>
              <w:rPr>
                <w:rFonts w:cs="Arial"/>
              </w:rPr>
            </w:pPr>
            <w:r w:rsidRPr="00201374">
              <w:rPr>
                <w:rFonts w:cs="Arial"/>
              </w:rPr>
              <w:t>Prüfung beim Dienstleister bei Outsourcing (</w:t>
            </w:r>
            <w:r w:rsidRPr="00201374">
              <w:rPr>
                <w:rFonts w:cs="Arial"/>
                <w:i/>
                <w:iCs/>
              </w:rPr>
              <w:t>falls relevant</w:t>
            </w:r>
            <w:r w:rsidRPr="00201374">
              <w:rPr>
                <w:rFonts w:cs="Arial"/>
              </w:rPr>
              <w:t>)</w:t>
            </w:r>
          </w:p>
        </w:tc>
      </w:tr>
      <w:tr w:rsidR="0088418E" w:rsidRPr="00201374" w14:paraId="0E1B0BED" w14:textId="77777777" w:rsidTr="00BC00BF">
        <w:trPr>
          <w:trHeight w:val="321"/>
        </w:trPr>
        <w:tc>
          <w:tcPr>
            <w:tcW w:w="5000" w:type="pct"/>
            <w:gridSpan w:val="5"/>
            <w:tcBorders>
              <w:top w:val="single" w:sz="8" w:space="0" w:color="272727"/>
              <w:left w:val="nil"/>
              <w:bottom w:val="single" w:sz="2" w:space="0" w:color="272727"/>
              <w:right w:val="single" w:sz="48" w:space="0" w:color="FFFFFF" w:themeColor="background1"/>
            </w:tcBorders>
          </w:tcPr>
          <w:p w14:paraId="1354866A" w14:textId="101DD991" w:rsidR="0088418E" w:rsidRPr="0088418E" w:rsidRDefault="0088418E" w:rsidP="004943E7">
            <w:pPr>
              <w:pStyle w:val="TabelleText"/>
              <w:rPr>
                <w:b/>
                <w:bCs/>
              </w:rPr>
            </w:pPr>
            <w:r w:rsidRPr="0088418E">
              <w:rPr>
                <w:b/>
                <w:bCs/>
              </w:rPr>
              <w:t>Artikel 10 – Zahlungskontoinformation</w:t>
            </w:r>
          </w:p>
          <w:p w14:paraId="3D9166A1" w14:textId="713585BA" w:rsidR="0088418E" w:rsidRPr="004943E7" w:rsidRDefault="0088418E" w:rsidP="003738F5">
            <w:pPr>
              <w:pStyle w:val="TabelleText"/>
            </w:pPr>
            <w:r w:rsidRPr="004943E7">
              <w:t xml:space="preserve">Auch für den Abruf über die Application-Programming-Interface-Schnittstelle (API-Schnittstelle) durch Serviceprovider relevant (s. Art. 36) </w:t>
            </w:r>
            <w:r w:rsidRPr="004943E7">
              <w:sym w:font="Wingdings" w:char="F0E0"/>
            </w:r>
            <w:r w:rsidRPr="004943E7">
              <w:t xml:space="preserve"> Der Verzicht auf die SKA bei Abfragen eines Kontoinformationsdienstleisters (Account Information Service Provider (AISP), Drittdienstleister (Third Party Provider (TPP)) bei AIS - bis zu vier Mal innerhalb von 24h möglich, sofern ein Kunde einem AISP eine entsprechende Erlaubnis (consent) erteilt - stellt eine Ausnahme nach Art. 10 der RTS dar.</w:t>
            </w:r>
          </w:p>
        </w:tc>
      </w:tr>
      <w:tr w:rsidR="00BC00BF" w:rsidRPr="00201374" w14:paraId="56C4E647" w14:textId="77777777" w:rsidTr="00BC00BF">
        <w:trPr>
          <w:trHeight w:val="173"/>
        </w:trPr>
        <w:tc>
          <w:tcPr>
            <w:tcW w:w="106" w:type="pct"/>
            <w:tcBorders>
              <w:top w:val="single" w:sz="2" w:space="0" w:color="272727"/>
              <w:left w:val="nil"/>
              <w:bottom w:val="single" w:sz="2" w:space="0" w:color="272727"/>
              <w:right w:val="single" w:sz="48" w:space="0" w:color="FFFFFF" w:themeColor="background1"/>
            </w:tcBorders>
          </w:tcPr>
          <w:p w14:paraId="5D18038D" w14:textId="56B48878" w:rsidR="0088418E" w:rsidRPr="004943E7" w:rsidRDefault="0088418E" w:rsidP="00BC00BF">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6FCA6D64" w14:textId="74D370D9" w:rsidR="0088418E" w:rsidRPr="004943E7" w:rsidRDefault="0088418E" w:rsidP="00BC00BF">
            <w:pPr>
              <w:pStyle w:val="TabelleText"/>
              <w:spacing w:before="240"/>
            </w:pPr>
            <w:r w:rsidRPr="004943E7">
              <w:t xml:space="preserve">Zahlungsdienstleister dürfen unter Einhaltung der in Art. 2 sowie in Abs. 2 des vorliegenden Artikels festgelegten Anforderungen davon absehen, eine starke Kundenauthentifizierung zu verlangen, wenn ein Zahlungsdienstnutzer nur auf eine oder beide der folgenden Informationen online zugreifen kann, ohne dass dabei sensible Zahlungsdaten offengelegt werden: </w:t>
            </w:r>
          </w:p>
          <w:p w14:paraId="24959154" w14:textId="6E9D21B3" w:rsidR="0088418E" w:rsidRPr="004943E7" w:rsidRDefault="0088418E" w:rsidP="00BC00BF">
            <w:pPr>
              <w:pStyle w:val="TabelleText"/>
              <w:spacing w:before="240"/>
            </w:pPr>
            <w:r w:rsidRPr="004943E7">
              <w:t xml:space="preserve">a) Kontostand eines oder mehrerer bezeichneter Zahlungskonten; </w:t>
            </w:r>
          </w:p>
          <w:p w14:paraId="3EA549FB" w14:textId="59605DA2" w:rsidR="0088418E" w:rsidRPr="004943E7" w:rsidRDefault="0088418E" w:rsidP="00BC00BF">
            <w:pPr>
              <w:pStyle w:val="TabelleText"/>
              <w:spacing w:before="240"/>
            </w:pPr>
            <w:r w:rsidRPr="004943E7">
              <w:t>b) Zahlungsvorgänge, die in den vergangenen 90 Tagen über ein oder mehrere bezeichnete Zahlungskonten ausgeführt wurden.</w:t>
            </w:r>
          </w:p>
        </w:tc>
        <w:tc>
          <w:tcPr>
            <w:tcW w:w="1373" w:type="pct"/>
            <w:tcBorders>
              <w:top w:val="single" w:sz="2" w:space="0" w:color="272727"/>
              <w:left w:val="nil"/>
              <w:bottom w:val="single" w:sz="2" w:space="0" w:color="272727"/>
              <w:right w:val="single" w:sz="48" w:space="0" w:color="FFFFFF" w:themeColor="background1"/>
            </w:tcBorders>
          </w:tcPr>
          <w:p w14:paraId="2594F4C6" w14:textId="77777777" w:rsidR="0088418E" w:rsidRPr="004943E7" w:rsidRDefault="0088418E" w:rsidP="00BC00BF">
            <w:pPr>
              <w:pStyle w:val="TabelleText"/>
              <w:spacing w:before="240"/>
            </w:pPr>
            <w:r w:rsidRPr="004943E7">
              <w:t>Unter definierten Voraussetzungen (a) und/oder b)) dürfen Zahlungsdienstleister von einer SKA absehen. Konkret ist dies der Online-Abruf von Kontoständen und Zahlungsvorgängen der letzten 90 Tage durch den Nutzer (Payment Service User), bspw. via Online-Banking.</w:t>
            </w:r>
          </w:p>
          <w:p w14:paraId="4D6433E8" w14:textId="0E79C23A" w:rsidR="0088418E" w:rsidRPr="004943E7" w:rsidRDefault="0088418E" w:rsidP="00BC00BF">
            <w:pPr>
              <w:pStyle w:val="TabelleText"/>
              <w:spacing w:before="240"/>
            </w:pPr>
            <w:r w:rsidRPr="004943E7">
              <w:t xml:space="preserve">Kartenzahlungen sind hier nicht betroffen. </w:t>
            </w:r>
          </w:p>
          <w:p w14:paraId="551C9F57" w14:textId="5B2DFE18" w:rsidR="0088418E" w:rsidRPr="004943E7" w:rsidRDefault="0088418E" w:rsidP="00BC00BF">
            <w:pPr>
              <w:pStyle w:val="TabelleText"/>
              <w:spacing w:before="240"/>
            </w:pPr>
            <w:r w:rsidRPr="004943E7">
              <w:lastRenderedPageBreak/>
              <w:t>Der Buchstabe b) gibt hier noch einen Zeitraum von 90 Tagen an. Zwischenzeitlich wurde dieser auf 180 Tage verlängert</w:t>
            </w:r>
            <w:r w:rsidRPr="004943E7">
              <w:rPr>
                <w:rStyle w:val="Funotenzeichen"/>
                <w:rFonts w:cs="Arial"/>
              </w:rPr>
              <w:footnoteReference w:id="4"/>
            </w:r>
            <w:r w:rsidRPr="004943E7">
              <w:t xml:space="preserve">. </w:t>
            </w:r>
          </w:p>
          <w:p w14:paraId="6613F594" w14:textId="4619B701" w:rsidR="0088418E" w:rsidRPr="004943E7" w:rsidRDefault="0088418E" w:rsidP="00BC00BF">
            <w:pPr>
              <w:pStyle w:val="TabelleText"/>
              <w:spacing w:before="240"/>
            </w:pPr>
            <w:r w:rsidRPr="004943E7">
              <w:t>Wenn der Kunde z. B. seinen Finanzstatus (Übersicht über seine Konten und aktuelle Salden) oder die Umsätze der letzten 180 Tage abruft, wird keine SKA verlangt.</w:t>
            </w:r>
          </w:p>
        </w:tc>
        <w:tc>
          <w:tcPr>
            <w:tcW w:w="1004" w:type="pct"/>
            <w:tcBorders>
              <w:top w:val="single" w:sz="2" w:space="0" w:color="272727"/>
              <w:left w:val="single" w:sz="48" w:space="0" w:color="FFFFFF" w:themeColor="background1"/>
              <w:bottom w:val="single" w:sz="2" w:space="0" w:color="272727"/>
              <w:right w:val="nil"/>
            </w:tcBorders>
          </w:tcPr>
          <w:p w14:paraId="26C10EFA" w14:textId="55BCE6CE" w:rsidR="0088418E" w:rsidRPr="004943E7" w:rsidRDefault="0088418E" w:rsidP="00BC00BF">
            <w:pPr>
              <w:pStyle w:val="TabelleText"/>
              <w:spacing w:before="240"/>
            </w:pPr>
            <w:r w:rsidRPr="004943E7">
              <w:lastRenderedPageBreak/>
              <w:t>Test im Electronic</w:t>
            </w:r>
            <w:r w:rsidRPr="004943E7">
              <w:noBreakHyphen/>
              <w:t xml:space="preserve">Banking Kanal: Abruf von Umsätzen &gt; 180 Tage → SKA muss verlangt werden. </w:t>
            </w:r>
          </w:p>
        </w:tc>
        <w:tc>
          <w:tcPr>
            <w:tcW w:w="985" w:type="pct"/>
            <w:tcBorders>
              <w:top w:val="single" w:sz="2" w:space="0" w:color="272727"/>
              <w:left w:val="single" w:sz="48" w:space="0" w:color="FFFFFF" w:themeColor="background1"/>
              <w:bottom w:val="single" w:sz="2" w:space="0" w:color="272727"/>
              <w:right w:val="nil"/>
            </w:tcBorders>
          </w:tcPr>
          <w:p w14:paraId="3F041250" w14:textId="1FD4640D" w:rsidR="0088418E" w:rsidRPr="004943E7" w:rsidRDefault="0088418E" w:rsidP="00BC00BF">
            <w:pPr>
              <w:pStyle w:val="TabelleText"/>
              <w:spacing w:before="240"/>
            </w:pPr>
            <w:r w:rsidRPr="004943E7">
              <w:t>PSD2-Zertifikate vom Dienstleister sowie dem Geräte- und Softwarehersteller einfordern.</w:t>
            </w:r>
          </w:p>
          <w:p w14:paraId="576848FD" w14:textId="4AEF48FF" w:rsidR="0088418E" w:rsidRPr="004943E7" w:rsidRDefault="0088418E" w:rsidP="00BC00BF">
            <w:pPr>
              <w:pStyle w:val="TabelleText"/>
              <w:spacing w:before="240"/>
            </w:pPr>
            <w:r w:rsidRPr="004943E7">
              <w:t>Prüfung, ob der Dienstleister die aktuelle Fristenlogik korrekt implementiert hat.</w:t>
            </w:r>
          </w:p>
        </w:tc>
      </w:tr>
      <w:tr w:rsidR="00BC00BF" w:rsidRPr="00201374" w14:paraId="26222196"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15526C98" w14:textId="336151A0" w:rsidR="0088418E" w:rsidRPr="004943E7" w:rsidRDefault="00BC00BF" w:rsidP="00BC00BF">
            <w:pPr>
              <w:pStyle w:val="TabelleText"/>
              <w:spacing w:before="240"/>
            </w:pPr>
            <w:r>
              <w:t>(2)</w:t>
            </w:r>
          </w:p>
        </w:tc>
        <w:tc>
          <w:tcPr>
            <w:tcW w:w="1532" w:type="pct"/>
            <w:tcBorders>
              <w:top w:val="single" w:sz="2" w:space="0" w:color="272727"/>
              <w:left w:val="nil"/>
              <w:bottom w:val="single" w:sz="2" w:space="0" w:color="272727"/>
              <w:right w:val="single" w:sz="48" w:space="0" w:color="FFFFFF" w:themeColor="background1"/>
            </w:tcBorders>
          </w:tcPr>
          <w:p w14:paraId="4DC4B647" w14:textId="5E02B28A" w:rsidR="0088418E" w:rsidRPr="004943E7" w:rsidRDefault="0088418E" w:rsidP="00BC00BF">
            <w:pPr>
              <w:pStyle w:val="TabelleText"/>
              <w:spacing w:before="240"/>
            </w:pPr>
            <w:r w:rsidRPr="004943E7">
              <w:t xml:space="preserve">Für die Zwecke des Abs. 1 dürfen Zahlungsdienstleister nicht von der Durchführung einer starken Kundenauthentifizierung ausgenommen werden, wenn eine der folgenden Bedingungen erfüllt ist: </w:t>
            </w:r>
          </w:p>
          <w:p w14:paraId="04D572F7" w14:textId="288843F5" w:rsidR="0088418E" w:rsidRPr="004943E7" w:rsidRDefault="0088418E" w:rsidP="00BC00BF">
            <w:pPr>
              <w:pStyle w:val="TabelleText"/>
              <w:spacing w:before="240"/>
            </w:pPr>
            <w:r w:rsidRPr="004943E7">
              <w:t xml:space="preserve">a) Der Zahlungsdienstnutzer greift zum ersten Mal online auf die in Abs. 1 genannten Informationen zu. </w:t>
            </w:r>
          </w:p>
          <w:p w14:paraId="5AC31FDC" w14:textId="497A9651" w:rsidR="0088418E" w:rsidRPr="004943E7" w:rsidRDefault="0088418E" w:rsidP="00BC00BF">
            <w:pPr>
              <w:pStyle w:val="TabelleText"/>
              <w:spacing w:before="240"/>
            </w:pPr>
            <w:r w:rsidRPr="004943E7">
              <w:t xml:space="preserve">b) Mehr als 90 Tage sind verstrichen, seitdem der Zahlungsdienstnutzer letztmals auf die in Abs. 1 Buchstabe b genannten Informationen online </w:t>
            </w:r>
            <w:r w:rsidRPr="004943E7">
              <w:lastRenderedPageBreak/>
              <w:t>zugegriffen hat und eine starke Kundenauthentifizierung verlangt wurde.</w:t>
            </w:r>
          </w:p>
        </w:tc>
        <w:tc>
          <w:tcPr>
            <w:tcW w:w="1373" w:type="pct"/>
            <w:tcBorders>
              <w:top w:val="single" w:sz="2" w:space="0" w:color="272727"/>
              <w:left w:val="nil"/>
              <w:bottom w:val="single" w:sz="2" w:space="0" w:color="272727"/>
              <w:right w:val="single" w:sz="48" w:space="0" w:color="FFFFFF" w:themeColor="background1"/>
            </w:tcBorders>
          </w:tcPr>
          <w:p w14:paraId="0AAA349C" w14:textId="62FA4C24" w:rsidR="0088418E" w:rsidRPr="004943E7" w:rsidRDefault="0088418E" w:rsidP="00BC00BF">
            <w:pPr>
              <w:pStyle w:val="TabelleText"/>
              <w:spacing w:before="240"/>
            </w:pPr>
            <w:r w:rsidRPr="004943E7">
              <w:lastRenderedPageBreak/>
              <w:t>Wenn der Kunde sich zum ersten Mal im Electronic-Banking Zugang einloggt oder mehr als 180</w:t>
            </w:r>
            <w:r w:rsidRPr="004943E7">
              <w:rPr>
                <w:rStyle w:val="Funotenzeichen"/>
                <w:rFonts w:cs="Arial"/>
              </w:rPr>
              <w:footnoteReference w:id="5"/>
            </w:r>
            <w:r w:rsidRPr="004943E7">
              <w:t xml:space="preserve"> Tage seit der letzten TAN-Eingabe vergangen sind, ist eine SKA zwingend erforderlich.</w:t>
            </w:r>
          </w:p>
        </w:tc>
        <w:tc>
          <w:tcPr>
            <w:tcW w:w="1004" w:type="pct"/>
            <w:tcBorders>
              <w:top w:val="single" w:sz="2" w:space="0" w:color="272727"/>
              <w:left w:val="single" w:sz="48" w:space="0" w:color="FFFFFF" w:themeColor="background1"/>
              <w:bottom w:val="single" w:sz="2" w:space="0" w:color="272727"/>
              <w:right w:val="nil"/>
            </w:tcBorders>
          </w:tcPr>
          <w:p w14:paraId="5F7FAE2F" w14:textId="320EF8B3" w:rsidR="0088418E" w:rsidRPr="004943E7" w:rsidRDefault="0088418E" w:rsidP="00BC00BF">
            <w:pPr>
              <w:pStyle w:val="TabelleText"/>
              <w:spacing w:before="240"/>
            </w:pPr>
            <w:r w:rsidRPr="004943E7">
              <w:t xml:space="preserve">Analyse von Konzepten und Systemkonfigurationen zur Umsetzung der Fristen. </w:t>
            </w:r>
          </w:p>
          <w:p w14:paraId="762B1259" w14:textId="0367CACA" w:rsidR="0088418E" w:rsidRPr="004943E7" w:rsidRDefault="0088418E" w:rsidP="00BC00BF">
            <w:pPr>
              <w:pStyle w:val="TabelleText"/>
              <w:spacing w:before="240"/>
            </w:pPr>
            <w:r w:rsidRPr="004943E7">
              <w:t>Prüfung der API</w:t>
            </w:r>
            <w:r w:rsidRPr="004943E7">
              <w:noBreakHyphen/>
              <w:t xml:space="preserve">Zugriffe (KID/AISP). </w:t>
            </w:r>
          </w:p>
          <w:p w14:paraId="3EB0F78C" w14:textId="58D04882" w:rsidR="0088418E" w:rsidRPr="004943E7" w:rsidRDefault="0088418E" w:rsidP="00BC00BF">
            <w:pPr>
              <w:pStyle w:val="TabelleText"/>
              <w:spacing w:before="240"/>
            </w:pPr>
            <w:r w:rsidRPr="004943E7">
              <w:t>Prüfung, ob Consent</w:t>
            </w:r>
            <w:r w:rsidRPr="004943E7">
              <w:noBreakHyphen/>
              <w:t>Handling sauber erfolgt (Erteilung, Ablauf, Widerruf, Protokollierung).</w:t>
            </w:r>
          </w:p>
        </w:tc>
        <w:tc>
          <w:tcPr>
            <w:tcW w:w="985" w:type="pct"/>
            <w:tcBorders>
              <w:top w:val="single" w:sz="2" w:space="0" w:color="272727"/>
              <w:left w:val="single" w:sz="48" w:space="0" w:color="FFFFFF" w:themeColor="background1"/>
              <w:bottom w:val="single" w:sz="2" w:space="0" w:color="272727"/>
              <w:right w:val="nil"/>
            </w:tcBorders>
          </w:tcPr>
          <w:p w14:paraId="26159C83" w14:textId="0840B5B8" w:rsidR="0088418E" w:rsidRPr="004943E7" w:rsidRDefault="0088418E" w:rsidP="00BC00BF">
            <w:pPr>
              <w:pStyle w:val="TabelleText"/>
              <w:spacing w:before="240"/>
            </w:pPr>
          </w:p>
        </w:tc>
      </w:tr>
      <w:tr w:rsidR="00BC00BF" w:rsidRPr="00201374" w14:paraId="559CFF9B" w14:textId="77777777" w:rsidTr="00BC00BF">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571B83D2" w14:textId="161CB8CC" w:rsidR="00BC00BF" w:rsidRPr="00BC00BF" w:rsidRDefault="00BC00BF" w:rsidP="004943E7">
            <w:pPr>
              <w:pStyle w:val="TabelleText"/>
              <w:rPr>
                <w:b/>
                <w:bCs/>
              </w:rPr>
            </w:pPr>
            <w:r w:rsidRPr="00BC00BF">
              <w:rPr>
                <w:b/>
                <w:bCs/>
              </w:rPr>
              <w:t>Artikel 11 - Kontaktlose Zahlungen an der Verkaufsstelle</w:t>
            </w:r>
          </w:p>
        </w:tc>
      </w:tr>
      <w:tr w:rsidR="00BC00BF" w:rsidRPr="00201374" w14:paraId="34889CB1"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7C86A2C0" w14:textId="3F7B6AF9" w:rsidR="0088418E" w:rsidRPr="004943E7" w:rsidRDefault="00BC00BF" w:rsidP="00BC00BF">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31B647CF" w14:textId="0EA3D018" w:rsidR="0088418E" w:rsidRPr="004943E7" w:rsidRDefault="0088418E" w:rsidP="00BC00BF">
            <w:pPr>
              <w:pStyle w:val="TabelleText"/>
              <w:spacing w:before="240"/>
            </w:pPr>
            <w:r w:rsidRPr="004943E7">
              <w:t xml:space="preserve">Zahlungsdienstleister dürfen unter Einhaltung der in Art. 2 festgelegten Anforderungen bei Auslösen eines kontaktlosen elektronischen Zahlungsvorgangs durch den Zahler davon absehen, eine starke Kundenauthentifizierung zu verlangen, wenn dabei die folgenden Bedingungen erfüllt sind: </w:t>
            </w:r>
          </w:p>
          <w:p w14:paraId="0F95BF56" w14:textId="3D72E423" w:rsidR="0088418E" w:rsidRPr="004943E7" w:rsidRDefault="0088418E" w:rsidP="00BC00BF">
            <w:pPr>
              <w:pStyle w:val="TabelleText"/>
              <w:spacing w:before="240"/>
            </w:pPr>
            <w:r w:rsidRPr="004943E7">
              <w:t xml:space="preserve">a) Der Einzelbetrag des kontaktlosen elektronischen Zahlungsvorgangs geht nicht über 50 EUR hinaus, und </w:t>
            </w:r>
          </w:p>
          <w:p w14:paraId="0B2E3AF1" w14:textId="44B6B160" w:rsidR="0088418E" w:rsidRPr="004943E7" w:rsidRDefault="0088418E" w:rsidP="00BC00BF">
            <w:pPr>
              <w:pStyle w:val="TabelleText"/>
              <w:spacing w:before="240"/>
            </w:pPr>
            <w:r w:rsidRPr="004943E7">
              <w:t>b) die früheren kontaktlosen elektronischen Zahlungsvorgänge, die über ein mit einer kontaktlosen Funktion ausgestattetes Zahlungsinstrument ausgelöst wurden, gehen seit der letzten Durchführung einer starken Kundenauthentifizierung zusammengenommen nicht über 150 EUR hinaus, oder</w:t>
            </w:r>
          </w:p>
          <w:p w14:paraId="0B8AE4CA" w14:textId="2FBF896A" w:rsidR="0088418E" w:rsidRPr="004943E7" w:rsidRDefault="0088418E" w:rsidP="00BC00BF">
            <w:pPr>
              <w:pStyle w:val="TabelleText"/>
              <w:spacing w:before="240"/>
            </w:pPr>
            <w:r w:rsidRPr="004943E7">
              <w:t>c) die Anzahl der aufeinanderfolgenden kontaktlosen elektronischen Zahlungsvorgänge, die über das mit einer kontaktlosen Funktion ausgestattete Zahlungsinstrument ausgelöst wurden, geht seit der letzten Durchführung einer starken Kundenauthentifizierung nicht über fünf hinaus.</w:t>
            </w:r>
          </w:p>
        </w:tc>
        <w:tc>
          <w:tcPr>
            <w:tcW w:w="1373" w:type="pct"/>
            <w:tcBorders>
              <w:top w:val="single" w:sz="2" w:space="0" w:color="272727"/>
              <w:left w:val="nil"/>
              <w:bottom w:val="single" w:sz="2" w:space="0" w:color="272727"/>
              <w:right w:val="single" w:sz="48" w:space="0" w:color="FFFFFF" w:themeColor="background1"/>
            </w:tcBorders>
          </w:tcPr>
          <w:p w14:paraId="5C1F5EBF" w14:textId="77777777" w:rsidR="0088418E" w:rsidRPr="004943E7" w:rsidRDefault="0088418E" w:rsidP="00BC00BF">
            <w:pPr>
              <w:pStyle w:val="TabelleText"/>
              <w:spacing w:before="240"/>
            </w:pPr>
            <w:r w:rsidRPr="004943E7">
              <w:t>Bei kontaktlosen Kartenzahlungen am POS kann die Bank auf SKA verzichten, wenn:</w:t>
            </w:r>
          </w:p>
          <w:p w14:paraId="3A82B495" w14:textId="77777777" w:rsidR="0088418E" w:rsidRPr="004943E7" w:rsidRDefault="0088418E" w:rsidP="00BC00BF">
            <w:pPr>
              <w:pStyle w:val="TabelleText"/>
              <w:spacing w:before="240"/>
            </w:pPr>
            <w:r w:rsidRPr="004943E7">
              <w:t>Betrag ≤ 50 EUR und</w:t>
            </w:r>
          </w:p>
          <w:p w14:paraId="435680E2" w14:textId="77777777" w:rsidR="0088418E" w:rsidRPr="004943E7" w:rsidRDefault="0088418E" w:rsidP="00BC00BF">
            <w:pPr>
              <w:pStyle w:val="TabelleText"/>
              <w:spacing w:before="240"/>
            </w:pPr>
            <w:r w:rsidRPr="004943E7">
              <w:t>kumulierte kontaktlose Zahlungen seit letzter SKA ≤ 150 EUR oder</w:t>
            </w:r>
          </w:p>
          <w:p w14:paraId="6A77C73D" w14:textId="7EE57B43" w:rsidR="0088418E" w:rsidRPr="004943E7" w:rsidRDefault="0088418E" w:rsidP="00BC00BF">
            <w:pPr>
              <w:pStyle w:val="TabelleText"/>
              <w:spacing w:before="240"/>
            </w:pPr>
            <w:r w:rsidRPr="004943E7">
              <w:t>maximal fünf kontaktlose Vorgänge seit letzter SKA.</w:t>
            </w:r>
          </w:p>
        </w:tc>
        <w:tc>
          <w:tcPr>
            <w:tcW w:w="1004" w:type="pct"/>
            <w:tcBorders>
              <w:top w:val="single" w:sz="2" w:space="0" w:color="272727"/>
              <w:left w:val="single" w:sz="48" w:space="0" w:color="FFFFFF" w:themeColor="background1"/>
              <w:bottom w:val="single" w:sz="2" w:space="0" w:color="272727"/>
              <w:right w:val="nil"/>
            </w:tcBorders>
          </w:tcPr>
          <w:p w14:paraId="027C720A" w14:textId="7BA6EE20" w:rsidR="0088418E" w:rsidRPr="004943E7" w:rsidRDefault="0088418E" w:rsidP="00BC00BF">
            <w:pPr>
              <w:pStyle w:val="TabelleText"/>
              <w:spacing w:before="240"/>
            </w:pPr>
            <w:r w:rsidRPr="004943E7">
              <w:t>Prüfung des fachlichen und technischen Konzeptes für Kartenzahlungen.</w:t>
            </w:r>
          </w:p>
          <w:p w14:paraId="6D3DA63F" w14:textId="4E0A328B" w:rsidR="0088418E" w:rsidRPr="004943E7" w:rsidRDefault="0088418E" w:rsidP="00BC00BF">
            <w:pPr>
              <w:pStyle w:val="TabelleText"/>
              <w:spacing w:before="240"/>
            </w:pPr>
            <w:r w:rsidRPr="004943E7">
              <w:t xml:space="preserve">Sicherstellung, dass diese „Ausnahme“ nicht für andere Kartenzahlungen genutzt wird (z. B. Fernzahlungen im Internet). </w:t>
            </w:r>
            <w:r w:rsidRPr="004943E7">
              <w:sym w:font="Wingdings" w:char="F0E0"/>
            </w:r>
            <w:r w:rsidRPr="004943E7">
              <w:t xml:space="preserve"> In der Regel gibt es in der Transaktion ein Flag, bspw. „cls – contactless“.</w:t>
            </w:r>
          </w:p>
          <w:p w14:paraId="6A939FDC" w14:textId="7841CE24" w:rsidR="0088418E" w:rsidRPr="004943E7" w:rsidRDefault="0088418E" w:rsidP="00BC00BF">
            <w:pPr>
              <w:pStyle w:val="TabelleText"/>
              <w:spacing w:before="240"/>
            </w:pPr>
            <w:r w:rsidRPr="004943E7">
              <w:t>Gibt es unterschiedliche Methoden für Debit- und Kreditkarten?</w:t>
            </w:r>
          </w:p>
          <w:p w14:paraId="1405C42B" w14:textId="0F8E3E81" w:rsidR="0088418E" w:rsidRPr="004943E7" w:rsidRDefault="0088418E" w:rsidP="00BC00BF">
            <w:pPr>
              <w:pStyle w:val="TabelleText"/>
              <w:spacing w:before="240"/>
            </w:pPr>
            <w:r w:rsidRPr="004943E7">
              <w:t>Datenauswertungen der Transaktionen für einen bestimmten Zeitraum zur Prüfung, ob die Limite und Anzahl ohne SKA eingehalten werden).</w:t>
            </w:r>
          </w:p>
          <w:p w14:paraId="10234F4C" w14:textId="3C43683C" w:rsidR="0088418E" w:rsidRPr="004943E7" w:rsidRDefault="0088418E" w:rsidP="00BC00BF">
            <w:pPr>
              <w:pStyle w:val="TabelleText"/>
              <w:spacing w:before="240"/>
            </w:pPr>
            <w:r w:rsidRPr="004943E7">
              <w:t xml:space="preserve">Prüfung, welche Methodik genutzt wird: Accumulator (Art. 11b) oder counter (Art. 11c) und ob die SKA </w:t>
            </w:r>
            <w:r w:rsidRPr="004943E7">
              <w:lastRenderedPageBreak/>
              <w:t>bei der richtigen Transaktion verlangt wird.</w:t>
            </w:r>
          </w:p>
        </w:tc>
        <w:tc>
          <w:tcPr>
            <w:tcW w:w="985" w:type="pct"/>
            <w:tcBorders>
              <w:top w:val="single" w:sz="2" w:space="0" w:color="272727"/>
              <w:left w:val="single" w:sz="48" w:space="0" w:color="FFFFFF" w:themeColor="background1"/>
              <w:bottom w:val="single" w:sz="2" w:space="0" w:color="272727"/>
              <w:right w:val="nil"/>
            </w:tcBorders>
          </w:tcPr>
          <w:p w14:paraId="35A5CBCF" w14:textId="59B3846A" w:rsidR="0088418E" w:rsidRPr="004943E7" w:rsidRDefault="0088418E" w:rsidP="00BC00BF">
            <w:pPr>
              <w:pStyle w:val="TabelleText"/>
              <w:spacing w:before="240"/>
            </w:pPr>
            <w:r w:rsidRPr="004943E7">
              <w:lastRenderedPageBreak/>
              <w:t>PSD2-Zertifikate vom Dienstleister sowie dem Geräte- und Softwarehersteller einfordern.</w:t>
            </w:r>
          </w:p>
        </w:tc>
      </w:tr>
      <w:tr w:rsidR="00BC00BF" w:rsidRPr="00201374" w14:paraId="7437CF27" w14:textId="77777777" w:rsidTr="00BC00BF">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76A6B342" w14:textId="541EA259" w:rsidR="00BC00BF" w:rsidRPr="00BC00BF" w:rsidRDefault="00BC00BF" w:rsidP="004943E7">
            <w:pPr>
              <w:pStyle w:val="TabelleText"/>
              <w:rPr>
                <w:b/>
                <w:bCs/>
              </w:rPr>
            </w:pPr>
            <w:r w:rsidRPr="00BC00BF">
              <w:rPr>
                <w:b/>
                <w:bCs/>
              </w:rPr>
              <w:t>Artikel 12 - Unbeaufsichtigte Terminals für Nutzungsentgelte und Parkgebühren</w:t>
            </w:r>
          </w:p>
        </w:tc>
      </w:tr>
      <w:tr w:rsidR="00BC00BF" w:rsidRPr="00201374" w14:paraId="5CD9530D"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05A96BC0" w14:textId="18E8FA0D" w:rsidR="0088418E" w:rsidRPr="004943E7" w:rsidRDefault="00BC00BF" w:rsidP="00BC00BF">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51A1DF27" w14:textId="77E60AA9" w:rsidR="0088418E" w:rsidRPr="004943E7" w:rsidRDefault="0088418E" w:rsidP="00BC00BF">
            <w:pPr>
              <w:pStyle w:val="TabelleText"/>
              <w:spacing w:before="240"/>
            </w:pPr>
            <w:r w:rsidRPr="004943E7">
              <w:t>Zahlungsdienstleister dürfen unter Einhaltung der in 2 festgelegten Anforderungen von der Vorgabe einer starken Kundenauthentifizierung absehen, wenn der Zahler an einem unbeaufsichtigten Terminal einen elektronischen Zahlungsvorgang auslöst, um ein Verkehrsnutzungsentgelt oder eine Parkgebühr zu zahlen.</w:t>
            </w:r>
          </w:p>
        </w:tc>
        <w:tc>
          <w:tcPr>
            <w:tcW w:w="1373" w:type="pct"/>
            <w:tcBorders>
              <w:top w:val="single" w:sz="2" w:space="0" w:color="272727"/>
              <w:left w:val="nil"/>
              <w:bottom w:val="single" w:sz="2" w:space="0" w:color="272727"/>
              <w:right w:val="single" w:sz="48" w:space="0" w:color="FFFFFF" w:themeColor="background1"/>
            </w:tcBorders>
          </w:tcPr>
          <w:p w14:paraId="49FAC03F" w14:textId="75F9FA7B" w:rsidR="0088418E" w:rsidRPr="004943E7" w:rsidRDefault="0088418E" w:rsidP="00BC00BF">
            <w:pPr>
              <w:pStyle w:val="TabelleText"/>
              <w:spacing w:before="240"/>
            </w:pPr>
            <w:r w:rsidRPr="004943E7">
              <w:t xml:space="preserve">Verzicht auf SKA im Fall der Zahlung von Verkehrsnutzungsentgelten (mittels Karte); Hierunter fallen bspw. auch Mautgebühren. </w:t>
            </w:r>
          </w:p>
        </w:tc>
        <w:tc>
          <w:tcPr>
            <w:tcW w:w="1004" w:type="pct"/>
            <w:tcBorders>
              <w:top w:val="single" w:sz="2" w:space="0" w:color="272727"/>
              <w:left w:val="single" w:sz="48" w:space="0" w:color="FFFFFF" w:themeColor="background1"/>
              <w:bottom w:val="single" w:sz="2" w:space="0" w:color="272727"/>
              <w:right w:val="nil"/>
            </w:tcBorders>
          </w:tcPr>
          <w:p w14:paraId="5BD365C6" w14:textId="5F00A56A" w:rsidR="0088418E" w:rsidRPr="004943E7" w:rsidRDefault="0088418E" w:rsidP="00BC00BF">
            <w:pPr>
              <w:pStyle w:val="TabelleText"/>
              <w:spacing w:before="240"/>
            </w:pPr>
            <w:r w:rsidRPr="004943E7">
              <w:t>Prüfung des fachlichen und technischen Konzeptes für Kartenzahlungen.</w:t>
            </w:r>
          </w:p>
          <w:p w14:paraId="4F19B2E9" w14:textId="36D6C972" w:rsidR="0088418E" w:rsidRPr="004943E7" w:rsidRDefault="0088418E" w:rsidP="00BC00BF">
            <w:pPr>
              <w:pStyle w:val="TabelleText"/>
              <w:spacing w:before="240"/>
            </w:pPr>
            <w:r w:rsidRPr="004943E7">
              <w:t>Sicherstellung, dass diese „Ausnahme“ nicht für andere Kartenzahlungen genutzt wird (z. B. Fernzahlungen im Internet) z. B. durch Datenauswertungen.</w:t>
            </w:r>
          </w:p>
          <w:p w14:paraId="27F17095" w14:textId="77777777" w:rsidR="0088418E" w:rsidRPr="004943E7" w:rsidRDefault="0088418E" w:rsidP="00BC00BF">
            <w:pPr>
              <w:pStyle w:val="TabelleText"/>
              <w:spacing w:before="240"/>
            </w:pPr>
            <w:r w:rsidRPr="004943E7">
              <w:t>Ansätze für Datenauswertungen:</w:t>
            </w:r>
          </w:p>
          <w:p w14:paraId="33AE0C00" w14:textId="4EE1090F" w:rsidR="0088418E" w:rsidRPr="004943E7" w:rsidRDefault="0088418E" w:rsidP="00BC00BF">
            <w:pPr>
              <w:pStyle w:val="TabelleText"/>
              <w:spacing w:before="240"/>
            </w:pPr>
            <w:r w:rsidRPr="004943E7">
              <w:t xml:space="preserve">- Prüfung der genutzten Merchant Category Codes für diese Transaktionen </w:t>
            </w:r>
            <w:hyperlink r:id="rId14" w:history="1">
              <w:r w:rsidRPr="004943E7">
                <w:rPr>
                  <w:rStyle w:val="Hyperlink"/>
                  <w:rFonts w:cs="Arial"/>
                </w:rPr>
                <w:t>Anhang 2: Zahlungssysteme und MCC Liste | Deutsche Bundesbank</w:t>
              </w:r>
            </w:hyperlink>
            <w:r w:rsidRPr="004943E7">
              <w:t xml:space="preserve">) wie wird im </w:t>
            </w:r>
            <w:r w:rsidR="00D41CB8" w:rsidRPr="004943E7">
              <w:t>POS-Routing</w:t>
            </w:r>
            <w:r w:rsidRPr="004943E7">
              <w:t xml:space="preserve"> „unbeaufsichtigt“ überprüft </w:t>
            </w:r>
            <w:r w:rsidRPr="004943E7">
              <w:sym w:font="Wingdings" w:char="F0E0"/>
            </w:r>
            <w:r w:rsidRPr="004943E7">
              <w:t xml:space="preserve"> bspw. anhand der mitgelieferten Parameter (TAG 9F33 „Terminalfähigkeiten“ aus BMP55 „Chipdaten“).</w:t>
            </w:r>
          </w:p>
        </w:tc>
        <w:tc>
          <w:tcPr>
            <w:tcW w:w="985" w:type="pct"/>
            <w:tcBorders>
              <w:top w:val="single" w:sz="2" w:space="0" w:color="272727"/>
              <w:left w:val="single" w:sz="48" w:space="0" w:color="FFFFFF" w:themeColor="background1"/>
              <w:bottom w:val="single" w:sz="2" w:space="0" w:color="272727"/>
              <w:right w:val="nil"/>
            </w:tcBorders>
          </w:tcPr>
          <w:p w14:paraId="78C209C5" w14:textId="77777777" w:rsidR="0088418E" w:rsidRPr="004943E7" w:rsidRDefault="0088418E" w:rsidP="00BC00BF">
            <w:pPr>
              <w:pStyle w:val="TabelleText"/>
              <w:spacing w:before="240"/>
            </w:pPr>
            <w:r w:rsidRPr="004943E7">
              <w:t>(Prüfungs-/Zertifizierungs-) Nachweis über Einhaltung des Artikels</w:t>
            </w:r>
          </w:p>
          <w:p w14:paraId="370F310B" w14:textId="46FDD422" w:rsidR="0088418E" w:rsidRPr="004943E7" w:rsidRDefault="0088418E" w:rsidP="00BC00BF">
            <w:pPr>
              <w:pStyle w:val="TabelleText"/>
              <w:spacing w:before="240"/>
            </w:pPr>
            <w:r w:rsidRPr="004943E7">
              <w:t>sowie ggf. bei dem Geräte- und Softwarehersteller einfordern.</w:t>
            </w:r>
          </w:p>
        </w:tc>
      </w:tr>
      <w:tr w:rsidR="00BC00BF" w:rsidRPr="00201374" w14:paraId="7479E16C" w14:textId="77777777" w:rsidTr="00BC00BF">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38B0DF78" w14:textId="4F974CE9" w:rsidR="00BC00BF" w:rsidRPr="00BC00BF" w:rsidRDefault="00BC00BF" w:rsidP="004943E7">
            <w:pPr>
              <w:pStyle w:val="TabelleText"/>
              <w:rPr>
                <w:b/>
                <w:bCs/>
              </w:rPr>
            </w:pPr>
            <w:r w:rsidRPr="00BC00BF">
              <w:rPr>
                <w:b/>
                <w:bCs/>
              </w:rPr>
              <w:t>Artikel 13 - Vertrauenswürdige Empfänger</w:t>
            </w:r>
          </w:p>
        </w:tc>
      </w:tr>
      <w:tr w:rsidR="00BC00BF" w:rsidRPr="00201374" w14:paraId="517D0DB3"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1ED9F644" w14:textId="47F760E1" w:rsidR="0088418E" w:rsidRPr="004943E7" w:rsidRDefault="00BC00BF" w:rsidP="00BC00BF">
            <w:pPr>
              <w:pStyle w:val="TabelleText"/>
              <w:spacing w:before="240"/>
            </w:pPr>
            <w:r>
              <w:lastRenderedPageBreak/>
              <w:t>(1)</w:t>
            </w:r>
          </w:p>
        </w:tc>
        <w:tc>
          <w:tcPr>
            <w:tcW w:w="1532" w:type="pct"/>
            <w:tcBorders>
              <w:top w:val="single" w:sz="2" w:space="0" w:color="272727"/>
              <w:left w:val="nil"/>
              <w:bottom w:val="single" w:sz="2" w:space="0" w:color="272727"/>
              <w:right w:val="single" w:sz="48" w:space="0" w:color="FFFFFF" w:themeColor="background1"/>
            </w:tcBorders>
          </w:tcPr>
          <w:p w14:paraId="71874D3D" w14:textId="271DA0D8" w:rsidR="0088418E" w:rsidRPr="004943E7" w:rsidRDefault="0088418E" w:rsidP="00BC00BF">
            <w:pPr>
              <w:pStyle w:val="TabelleText"/>
              <w:spacing w:before="240"/>
            </w:pPr>
            <w:r w:rsidRPr="004943E7">
              <w:t xml:space="preserve">Wenn ein Zahler durch seinen kontoführenden Zahlungsdienstleister eine Liste der vertrauenswürdigen Empfänger erstellt oder ändert, müssen Zahlungsdienstleister eine starke Kundenauthentifizierung verlangen. </w:t>
            </w:r>
          </w:p>
        </w:tc>
        <w:tc>
          <w:tcPr>
            <w:tcW w:w="1373" w:type="pct"/>
            <w:tcBorders>
              <w:top w:val="single" w:sz="2" w:space="0" w:color="272727"/>
              <w:left w:val="nil"/>
              <w:bottom w:val="single" w:sz="2" w:space="0" w:color="272727"/>
              <w:right w:val="single" w:sz="48" w:space="0" w:color="FFFFFF" w:themeColor="background1"/>
            </w:tcBorders>
          </w:tcPr>
          <w:p w14:paraId="6EAB18CA" w14:textId="4C5D52E5" w:rsidR="0088418E" w:rsidRPr="004943E7" w:rsidRDefault="0088418E" w:rsidP="00BC00BF">
            <w:pPr>
              <w:pStyle w:val="TabelleText"/>
              <w:spacing w:before="240"/>
            </w:pPr>
            <w:r w:rsidRPr="004943E7">
              <w:t>Bei der Erstellung oder Änderung einer Liste vertrauenswürdiger Empfänger ist eine SKA zwingend erforderlich.</w:t>
            </w:r>
          </w:p>
        </w:tc>
        <w:tc>
          <w:tcPr>
            <w:tcW w:w="1004" w:type="pct"/>
            <w:tcBorders>
              <w:top w:val="single" w:sz="2" w:space="0" w:color="272727"/>
              <w:left w:val="single" w:sz="48" w:space="0" w:color="FFFFFF" w:themeColor="background1"/>
              <w:bottom w:val="single" w:sz="2" w:space="0" w:color="272727"/>
              <w:right w:val="nil"/>
            </w:tcBorders>
          </w:tcPr>
          <w:p w14:paraId="34E2F27F" w14:textId="2919584D" w:rsidR="0088418E" w:rsidRPr="004943E7" w:rsidRDefault="0088418E" w:rsidP="00BC00BF">
            <w:pPr>
              <w:pStyle w:val="TabelleText"/>
              <w:spacing w:before="240"/>
            </w:pPr>
            <w:r w:rsidRPr="004943E7">
              <w:t>Test im Electronic</w:t>
            </w:r>
            <w:r w:rsidRPr="004943E7">
              <w:noBreakHyphen/>
              <w:t xml:space="preserve">Banking Kanal (Online, Mobile): Anlage eines Empfängers → SKA verpflichtend. </w:t>
            </w:r>
          </w:p>
        </w:tc>
        <w:tc>
          <w:tcPr>
            <w:tcW w:w="985" w:type="pct"/>
            <w:tcBorders>
              <w:top w:val="single" w:sz="2" w:space="0" w:color="272727"/>
              <w:left w:val="single" w:sz="48" w:space="0" w:color="FFFFFF" w:themeColor="background1"/>
              <w:bottom w:val="single" w:sz="2" w:space="0" w:color="272727"/>
              <w:right w:val="nil"/>
            </w:tcBorders>
          </w:tcPr>
          <w:p w14:paraId="017DC862" w14:textId="191E7F57" w:rsidR="0088418E" w:rsidRPr="004943E7" w:rsidRDefault="0088418E" w:rsidP="00BC00BF">
            <w:pPr>
              <w:pStyle w:val="TabelleText"/>
              <w:spacing w:before="240"/>
            </w:pPr>
            <w:r w:rsidRPr="004943E7">
              <w:t>(Prüfungs-/Zertifizierungs-) Nachweis über Einhaltung des Artikels.</w:t>
            </w:r>
          </w:p>
        </w:tc>
      </w:tr>
      <w:tr w:rsidR="00BC00BF" w:rsidRPr="00201374" w14:paraId="3707EB51"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0AED777C" w14:textId="3BBA4DFE" w:rsidR="0088418E" w:rsidRPr="004943E7" w:rsidRDefault="00BC00BF" w:rsidP="00BC00BF">
            <w:pPr>
              <w:pStyle w:val="TabelleText"/>
              <w:spacing w:before="240"/>
            </w:pPr>
            <w:r>
              <w:t>(2)</w:t>
            </w:r>
          </w:p>
        </w:tc>
        <w:tc>
          <w:tcPr>
            <w:tcW w:w="1532" w:type="pct"/>
            <w:tcBorders>
              <w:top w:val="single" w:sz="2" w:space="0" w:color="272727"/>
              <w:left w:val="nil"/>
              <w:bottom w:val="single" w:sz="2" w:space="0" w:color="272727"/>
              <w:right w:val="single" w:sz="48" w:space="0" w:color="FFFFFF" w:themeColor="background1"/>
            </w:tcBorders>
          </w:tcPr>
          <w:p w14:paraId="1C70FB45" w14:textId="055EFA34" w:rsidR="0088418E" w:rsidRPr="004943E7" w:rsidRDefault="0088418E" w:rsidP="00BC00BF">
            <w:pPr>
              <w:pStyle w:val="TabelleText"/>
              <w:spacing w:before="240"/>
            </w:pPr>
            <w:r w:rsidRPr="004943E7">
              <w:t>Sind die allgemeinen Anforderungen an die Authentifizierung erfüllt, dürfen Zahlungsdienstleister bei Auslösen eines Zahlungsvorgangs durch den Zahler von der Vorgabe einer starken Kundenauthentifizierung absehen.</w:t>
            </w:r>
            <w:r w:rsidRPr="004943E7">
              <w:br/>
              <w:t>Dies gilt, wenn der Zahlungsempfänger auf einer zuvor vom Zahler erstellten Liste der vertrauenswürdigen Empfänger geführt wird.</w:t>
            </w:r>
          </w:p>
        </w:tc>
        <w:tc>
          <w:tcPr>
            <w:tcW w:w="1373" w:type="pct"/>
            <w:tcBorders>
              <w:top w:val="single" w:sz="2" w:space="0" w:color="272727"/>
              <w:left w:val="nil"/>
              <w:bottom w:val="single" w:sz="2" w:space="0" w:color="272727"/>
              <w:right w:val="single" w:sz="48" w:space="0" w:color="FFFFFF" w:themeColor="background1"/>
            </w:tcBorders>
          </w:tcPr>
          <w:p w14:paraId="35645A10" w14:textId="0846924D" w:rsidR="0088418E" w:rsidRPr="004943E7" w:rsidRDefault="0088418E" w:rsidP="00BC00BF">
            <w:pPr>
              <w:pStyle w:val="TabelleText"/>
              <w:spacing w:before="240"/>
            </w:pPr>
            <w:r w:rsidRPr="004943E7">
              <w:t>Für Zahlungen an gelistete Empfänger kann anschließend auf SKA verzichtet werden.</w:t>
            </w:r>
          </w:p>
        </w:tc>
        <w:tc>
          <w:tcPr>
            <w:tcW w:w="1004" w:type="pct"/>
            <w:tcBorders>
              <w:top w:val="single" w:sz="2" w:space="0" w:color="272727"/>
              <w:left w:val="single" w:sz="48" w:space="0" w:color="FFFFFF" w:themeColor="background1"/>
              <w:bottom w:val="single" w:sz="2" w:space="0" w:color="272727"/>
              <w:right w:val="nil"/>
            </w:tcBorders>
          </w:tcPr>
          <w:p w14:paraId="59FED426" w14:textId="58E88BD4" w:rsidR="0088418E" w:rsidRPr="004943E7" w:rsidRDefault="0088418E" w:rsidP="00BC00BF">
            <w:pPr>
              <w:pStyle w:val="TabelleText"/>
              <w:spacing w:before="240"/>
            </w:pPr>
            <w:r w:rsidRPr="004943E7">
              <w:t>Prüfung des Audit</w:t>
            </w:r>
            <w:r w:rsidRPr="004943E7">
              <w:noBreakHyphen/>
              <w:t>Trails: Nachweis, dass Zahlungstyp korrekt als „Whitelist</w:t>
            </w:r>
            <w:r w:rsidRPr="004943E7">
              <w:noBreakHyphen/>
              <w:t xml:space="preserve">Zahlung“ erkannt wurde. </w:t>
            </w:r>
          </w:p>
          <w:p w14:paraId="65DFE30A" w14:textId="27B13E89" w:rsidR="0088418E" w:rsidRPr="004943E7" w:rsidRDefault="0088418E" w:rsidP="00BC00BF">
            <w:pPr>
              <w:pStyle w:val="TabelleText"/>
              <w:spacing w:before="240"/>
            </w:pPr>
            <w:r w:rsidRPr="004943E7">
              <w:t>Analyse, wer Whitelist</w:t>
            </w:r>
            <w:r w:rsidRPr="004943E7">
              <w:noBreakHyphen/>
              <w:t>Einträge anlegen darf (Kunde, Bank, Hotline) und wie SKA erzwungen wird.</w:t>
            </w:r>
          </w:p>
        </w:tc>
        <w:tc>
          <w:tcPr>
            <w:tcW w:w="985" w:type="pct"/>
            <w:tcBorders>
              <w:top w:val="single" w:sz="2" w:space="0" w:color="272727"/>
              <w:left w:val="single" w:sz="48" w:space="0" w:color="FFFFFF" w:themeColor="background1"/>
              <w:bottom w:val="single" w:sz="2" w:space="0" w:color="272727"/>
              <w:right w:val="nil"/>
            </w:tcBorders>
          </w:tcPr>
          <w:p w14:paraId="5915DE8F" w14:textId="77777777" w:rsidR="0088418E" w:rsidRPr="004943E7" w:rsidRDefault="0088418E" w:rsidP="00BC00BF">
            <w:pPr>
              <w:pStyle w:val="TabelleText"/>
              <w:spacing w:before="240"/>
            </w:pPr>
          </w:p>
        </w:tc>
      </w:tr>
      <w:tr w:rsidR="00BC00BF" w:rsidRPr="00201374" w14:paraId="2F5254D3" w14:textId="77777777" w:rsidTr="00BC00BF">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26308B07" w14:textId="530D78E2" w:rsidR="00BC00BF" w:rsidRPr="00BC00BF" w:rsidRDefault="00BC00BF" w:rsidP="004943E7">
            <w:pPr>
              <w:pStyle w:val="TabelleText"/>
              <w:rPr>
                <w:b/>
                <w:bCs/>
              </w:rPr>
            </w:pPr>
            <w:r w:rsidRPr="00BC00BF">
              <w:rPr>
                <w:b/>
                <w:bCs/>
              </w:rPr>
              <w:t>Artikel 14 - Wiederkehrende Zahlungsvorgänge</w:t>
            </w:r>
          </w:p>
        </w:tc>
      </w:tr>
      <w:tr w:rsidR="00BC00BF" w:rsidRPr="00201374" w14:paraId="21C4ACC8"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5F4F006C" w14:textId="610F257F" w:rsidR="0088418E" w:rsidRPr="004943E7" w:rsidRDefault="00BC00BF" w:rsidP="00BC00BF">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428FA492" w14:textId="7C6C30AD" w:rsidR="0088418E" w:rsidRPr="004943E7" w:rsidRDefault="0088418E" w:rsidP="00BC00BF">
            <w:pPr>
              <w:pStyle w:val="TabelleText"/>
              <w:spacing w:before="240"/>
            </w:pPr>
            <w:r w:rsidRPr="004943E7">
              <w:t>Zahlungsdienstleister müssen eine starke Kundenauthentifizierung verlangen, wenn ein Zahler eine Serie wiederkehrender Zahlungsvorgänge mit demselben Betrag und demselben Zahlungsempfänger erstellt, ändert oder erstmals auslöst.</w:t>
            </w:r>
          </w:p>
        </w:tc>
        <w:tc>
          <w:tcPr>
            <w:tcW w:w="1373" w:type="pct"/>
            <w:tcBorders>
              <w:top w:val="single" w:sz="2" w:space="0" w:color="272727"/>
              <w:left w:val="nil"/>
              <w:bottom w:val="single" w:sz="2" w:space="0" w:color="272727"/>
              <w:right w:val="single" w:sz="48" w:space="0" w:color="FFFFFF" w:themeColor="background1"/>
            </w:tcBorders>
          </w:tcPr>
          <w:p w14:paraId="1BA94E6E" w14:textId="1D868722" w:rsidR="0088418E" w:rsidRPr="004943E7" w:rsidRDefault="0088418E" w:rsidP="00BC00BF">
            <w:pPr>
              <w:pStyle w:val="TabelleText"/>
              <w:spacing w:before="240"/>
            </w:pPr>
            <w:r w:rsidRPr="004943E7">
              <w:t>Bei wiederkehrenden Zahlungen (gleicher Betrag, gleicher Empfänger) ist bei Einrichtung, Änderung und erster Auslösung eine SKA notwendig.</w:t>
            </w:r>
          </w:p>
        </w:tc>
        <w:tc>
          <w:tcPr>
            <w:tcW w:w="1004" w:type="pct"/>
            <w:tcBorders>
              <w:top w:val="single" w:sz="2" w:space="0" w:color="272727"/>
              <w:left w:val="single" w:sz="48" w:space="0" w:color="FFFFFF" w:themeColor="background1"/>
              <w:bottom w:val="single" w:sz="2" w:space="0" w:color="272727"/>
              <w:right w:val="nil"/>
            </w:tcBorders>
          </w:tcPr>
          <w:p w14:paraId="70FD16E1" w14:textId="4DF995FC" w:rsidR="0088418E" w:rsidRPr="004943E7" w:rsidRDefault="0088418E" w:rsidP="00BC00BF">
            <w:pPr>
              <w:pStyle w:val="TabelleText"/>
              <w:spacing w:before="240"/>
            </w:pPr>
            <w:r w:rsidRPr="004943E7">
              <w:t>Einholen einer Grundgesamtheit erstellter, geänderter oder erstmals ausgelöster Daueraufträge innerhalb eines festgelegten Zeitraums.</w:t>
            </w:r>
          </w:p>
          <w:p w14:paraId="4932A030" w14:textId="55B8D699" w:rsidR="0088418E" w:rsidRPr="004943E7" w:rsidRDefault="0088418E" w:rsidP="00BC00BF">
            <w:pPr>
              <w:pStyle w:val="TabelleText"/>
              <w:spacing w:before="240"/>
            </w:pPr>
            <w:r w:rsidRPr="004943E7">
              <w:t xml:space="preserve">Stichprobenprüfung: Einsichtnahme in geeignete Nachweise, ob eine SKA in den genannten Fällen erlangt wurde. </w:t>
            </w:r>
          </w:p>
        </w:tc>
        <w:tc>
          <w:tcPr>
            <w:tcW w:w="985" w:type="pct"/>
            <w:tcBorders>
              <w:top w:val="single" w:sz="2" w:space="0" w:color="272727"/>
              <w:left w:val="single" w:sz="48" w:space="0" w:color="FFFFFF" w:themeColor="background1"/>
              <w:bottom w:val="single" w:sz="2" w:space="0" w:color="272727"/>
              <w:right w:val="nil"/>
            </w:tcBorders>
          </w:tcPr>
          <w:p w14:paraId="617109B9" w14:textId="7AFBD22A" w:rsidR="0088418E" w:rsidRPr="004943E7" w:rsidRDefault="0088418E" w:rsidP="00BC00BF">
            <w:pPr>
              <w:pStyle w:val="TabelleText"/>
              <w:spacing w:before="240"/>
            </w:pPr>
            <w:r w:rsidRPr="004943E7">
              <w:t>(Prüfungs-/Zertifizierungs-) Nachweis über Einhaltung des Artikels.</w:t>
            </w:r>
          </w:p>
          <w:p w14:paraId="36381D31" w14:textId="488ED99F" w:rsidR="0088418E" w:rsidRPr="004943E7" w:rsidRDefault="0088418E" w:rsidP="00BC00BF">
            <w:pPr>
              <w:pStyle w:val="TabelleText"/>
              <w:spacing w:before="240"/>
            </w:pPr>
            <w:r w:rsidRPr="004943E7">
              <w:t>Transaktionsdaten von Kartengeschäften (Betrag, Kartennummer usw.) bereitstellen lassen und prüfen.</w:t>
            </w:r>
          </w:p>
        </w:tc>
      </w:tr>
      <w:tr w:rsidR="00BC00BF" w:rsidRPr="00201374" w14:paraId="143412CE"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6FD00358" w14:textId="3D03014C" w:rsidR="0088418E" w:rsidRPr="004943E7" w:rsidRDefault="00BC00BF" w:rsidP="004943E7">
            <w:pPr>
              <w:pStyle w:val="TabelleText"/>
            </w:pPr>
            <w:r>
              <w:lastRenderedPageBreak/>
              <w:t>(2)</w:t>
            </w:r>
          </w:p>
        </w:tc>
        <w:tc>
          <w:tcPr>
            <w:tcW w:w="1532" w:type="pct"/>
            <w:tcBorders>
              <w:top w:val="single" w:sz="2" w:space="0" w:color="272727"/>
              <w:left w:val="nil"/>
              <w:bottom w:val="single" w:sz="2" w:space="0" w:color="272727"/>
              <w:right w:val="single" w:sz="48" w:space="0" w:color="FFFFFF" w:themeColor="background1"/>
            </w:tcBorders>
          </w:tcPr>
          <w:p w14:paraId="471ED524" w14:textId="371F8370" w:rsidR="0088418E" w:rsidRPr="004943E7" w:rsidRDefault="0088418E" w:rsidP="004943E7">
            <w:pPr>
              <w:pStyle w:val="TabelleText"/>
            </w:pPr>
            <w:r w:rsidRPr="004943E7">
              <w:t>Sind die allgemeinen Anforderungen an die Authentifizierung erfüllt, dürfen Zahlungsdienstleister bei Auslösen aller nachfolgenden Zahlungsvorgänge, die in eine Serie von Zahlungsvorgängen gemäß Abs. 1 eingeschlossen sind, von der Vorgabe einer starken Kundenauthentifizierung absehen.</w:t>
            </w:r>
          </w:p>
        </w:tc>
        <w:tc>
          <w:tcPr>
            <w:tcW w:w="1373" w:type="pct"/>
            <w:tcBorders>
              <w:top w:val="single" w:sz="2" w:space="0" w:color="272727"/>
              <w:left w:val="nil"/>
              <w:bottom w:val="single" w:sz="2" w:space="0" w:color="272727"/>
              <w:right w:val="single" w:sz="48" w:space="0" w:color="FFFFFF" w:themeColor="background1"/>
            </w:tcBorders>
          </w:tcPr>
          <w:p w14:paraId="04E3A5B1" w14:textId="5C4F88DC" w:rsidR="0088418E" w:rsidRPr="004943E7" w:rsidRDefault="0088418E" w:rsidP="00BC00BF">
            <w:pPr>
              <w:pStyle w:val="TabelleText"/>
            </w:pPr>
            <w:r w:rsidRPr="004943E7">
              <w:t>Folgezahlungen benötigen keine erneute SKA, sofern die zugrunde liegende Ersttransaktion korrekt referenziert wird.</w:t>
            </w:r>
          </w:p>
        </w:tc>
        <w:tc>
          <w:tcPr>
            <w:tcW w:w="1004" w:type="pct"/>
            <w:tcBorders>
              <w:top w:val="single" w:sz="2" w:space="0" w:color="272727"/>
              <w:left w:val="single" w:sz="48" w:space="0" w:color="FFFFFF" w:themeColor="background1"/>
              <w:bottom w:val="single" w:sz="2" w:space="0" w:color="272727"/>
              <w:right w:val="nil"/>
            </w:tcBorders>
          </w:tcPr>
          <w:p w14:paraId="1C846F92" w14:textId="77777777" w:rsidR="0088418E" w:rsidRPr="004943E7" w:rsidRDefault="0088418E" w:rsidP="004943E7">
            <w:pPr>
              <w:pStyle w:val="TabelleText"/>
            </w:pPr>
            <w:r w:rsidRPr="004943E7">
              <w:t>Stichprobenprüfung: Referenzierung auf die vorgelagerte SKA bei Nachfolgezahlungen);</w:t>
            </w:r>
          </w:p>
          <w:p w14:paraId="1FB8FC1F" w14:textId="77777777" w:rsidR="0088418E" w:rsidRPr="004943E7" w:rsidRDefault="0088418E" w:rsidP="004943E7">
            <w:pPr>
              <w:pStyle w:val="TabelleText"/>
            </w:pPr>
            <w:r w:rsidRPr="004943E7">
              <w:t>Diese Referenz der vom Kunden initiierten Ersttransaktion muss in folgendem Feld der Zahlung eingetragen werden:</w:t>
            </w:r>
          </w:p>
          <w:p w14:paraId="16AD0110" w14:textId="77777777" w:rsidR="0088418E" w:rsidRPr="004943E7" w:rsidRDefault="0088418E" w:rsidP="004943E7">
            <w:pPr>
              <w:pStyle w:val="TabelleText"/>
            </w:pPr>
            <w:r w:rsidRPr="004943E7">
              <w:t>Feld 63.02 (Original Trace ID der Ersttransaktion – Mastercard) oder</w:t>
            </w:r>
          </w:p>
          <w:p w14:paraId="766F08F0" w14:textId="592CD02F" w:rsidR="0088418E" w:rsidRPr="004943E7" w:rsidRDefault="0088418E" w:rsidP="004943E7">
            <w:pPr>
              <w:pStyle w:val="TabelleText"/>
            </w:pPr>
            <w:r w:rsidRPr="004943E7">
              <w:t>Feld 63.10 (Original Transaction ID der Ersttransaktion – Visa)</w:t>
            </w:r>
          </w:p>
          <w:p w14:paraId="2C582216" w14:textId="0EB62FD7" w:rsidR="0088418E" w:rsidRPr="004943E7" w:rsidRDefault="0088418E" w:rsidP="00BC00BF">
            <w:pPr>
              <w:pStyle w:val="TabelleText"/>
            </w:pPr>
            <w:r w:rsidRPr="004943E7">
              <w:t>Wie erfolgt die Referenz-Kontrolle, wenn die Zahlungsserie bereits vor Einführung der PSD2 begonnen wurde?</w:t>
            </w:r>
          </w:p>
        </w:tc>
        <w:tc>
          <w:tcPr>
            <w:tcW w:w="985" w:type="pct"/>
            <w:tcBorders>
              <w:top w:val="single" w:sz="2" w:space="0" w:color="272727"/>
              <w:left w:val="single" w:sz="48" w:space="0" w:color="FFFFFF" w:themeColor="background1"/>
              <w:bottom w:val="single" w:sz="2" w:space="0" w:color="272727"/>
              <w:right w:val="nil"/>
            </w:tcBorders>
          </w:tcPr>
          <w:p w14:paraId="67F07CDE" w14:textId="29BA8B7F" w:rsidR="0088418E" w:rsidRPr="004943E7" w:rsidRDefault="0088418E" w:rsidP="004943E7">
            <w:pPr>
              <w:pStyle w:val="TabelleText"/>
            </w:pPr>
            <w:r w:rsidRPr="004943E7">
              <w:t>(Prüfungs-/Zertifizierungs-) Nachweis über Einhaltung des Artikels.</w:t>
            </w:r>
          </w:p>
          <w:p w14:paraId="4C2074F7" w14:textId="0FF33940" w:rsidR="0088418E" w:rsidRPr="004943E7" w:rsidRDefault="0088418E" w:rsidP="004943E7">
            <w:pPr>
              <w:pStyle w:val="TabelleText"/>
            </w:pPr>
            <w:r w:rsidRPr="004943E7">
              <w:t>Transaktionsdaten von Kartengeschäften (Betrag, Kartennummer usw.) bereitstellen lassen und prüfen.</w:t>
            </w:r>
          </w:p>
        </w:tc>
      </w:tr>
      <w:tr w:rsidR="00BC00BF" w:rsidRPr="00201374" w14:paraId="6B5255AD" w14:textId="77777777" w:rsidTr="00BC00BF">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2497B6F3" w14:textId="1A1D2A67" w:rsidR="00BC00BF" w:rsidRPr="00BC00BF" w:rsidRDefault="00BC00BF" w:rsidP="004943E7">
            <w:pPr>
              <w:pStyle w:val="TabelleText"/>
              <w:rPr>
                <w:b/>
                <w:bCs/>
              </w:rPr>
            </w:pPr>
            <w:r w:rsidRPr="00BC00BF">
              <w:rPr>
                <w:b/>
                <w:bCs/>
              </w:rPr>
              <w:t>Artikel 15 - Überweisungen zwischen Konten, die von derselben natürlichen oder juristischen Person gehalten werden</w:t>
            </w:r>
          </w:p>
        </w:tc>
      </w:tr>
      <w:tr w:rsidR="00BC00BF" w:rsidRPr="00201374" w14:paraId="417E4DC6"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6D6C1BA3" w14:textId="27B32241" w:rsidR="0088418E" w:rsidRPr="004943E7" w:rsidRDefault="00BC00BF" w:rsidP="00BC00BF">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14C37063" w14:textId="47B6036C" w:rsidR="0088418E" w:rsidRPr="004943E7" w:rsidRDefault="0088418E" w:rsidP="00BC00BF">
            <w:pPr>
              <w:pStyle w:val="TabelleText"/>
              <w:spacing w:before="240"/>
            </w:pPr>
            <w:r w:rsidRPr="004943E7">
              <w:t>Zahlungsdienstleister dürfen unter Einhaltung der in Art. 2 festgelegten Anforderungen von der Vorgabe einer starken Kundenauthentifizierung absehen, wenn der Zahler eine Überweisung auslöst und es sich bei dem Zahler und dem Zahlungsempfänger um dieselbe natürliche oder juristische Person handelt und beide Zahlungskonten von demselben kontoführenden Zahlungsdienstleister unterhalten werden.</w:t>
            </w:r>
          </w:p>
        </w:tc>
        <w:tc>
          <w:tcPr>
            <w:tcW w:w="1373" w:type="pct"/>
            <w:tcBorders>
              <w:top w:val="single" w:sz="2" w:space="0" w:color="272727"/>
              <w:left w:val="nil"/>
              <w:bottom w:val="single" w:sz="2" w:space="0" w:color="272727"/>
              <w:right w:val="single" w:sz="48" w:space="0" w:color="FFFFFF" w:themeColor="background1"/>
            </w:tcBorders>
          </w:tcPr>
          <w:p w14:paraId="28BB4368" w14:textId="4D52C486" w:rsidR="0088418E" w:rsidRPr="004943E7" w:rsidRDefault="0088418E" w:rsidP="00BC00BF">
            <w:pPr>
              <w:pStyle w:val="TabelleText"/>
              <w:spacing w:before="240"/>
            </w:pPr>
            <w:r w:rsidRPr="004943E7">
              <w:t>Wenn Zahler und Empfänger dieselbe natürliche/juristische Person sind und beide Konten beim selben Zahlungsdienstleister geführt werden, darf die SKA entfallen.</w:t>
            </w:r>
          </w:p>
        </w:tc>
        <w:tc>
          <w:tcPr>
            <w:tcW w:w="1004" w:type="pct"/>
            <w:tcBorders>
              <w:top w:val="single" w:sz="2" w:space="0" w:color="272727"/>
              <w:left w:val="single" w:sz="48" w:space="0" w:color="FFFFFF" w:themeColor="background1"/>
              <w:bottom w:val="single" w:sz="2" w:space="0" w:color="272727"/>
              <w:right w:val="nil"/>
            </w:tcBorders>
          </w:tcPr>
          <w:p w14:paraId="3C6E3397" w14:textId="5A2EB11F" w:rsidR="0088418E" w:rsidRPr="004943E7" w:rsidRDefault="0088418E" w:rsidP="00BC00BF">
            <w:pPr>
              <w:pStyle w:val="TabelleText"/>
              <w:spacing w:before="240"/>
            </w:pPr>
            <w:r w:rsidRPr="004943E7">
              <w:t>Einsichtnahme des Fachkonzepts/(IT-Konzepts).</w:t>
            </w:r>
          </w:p>
          <w:p w14:paraId="16177E0E" w14:textId="2E490EF5" w:rsidR="0088418E" w:rsidRPr="004943E7" w:rsidRDefault="0088418E" w:rsidP="00BC00BF">
            <w:pPr>
              <w:pStyle w:val="TabelleText"/>
              <w:spacing w:before="240"/>
            </w:pPr>
            <w:r w:rsidRPr="004943E7">
              <w:t>Prüfung der Umsetzung im IT-System.</w:t>
            </w:r>
          </w:p>
          <w:p w14:paraId="55A9BFD1" w14:textId="43CFA199" w:rsidR="0088418E" w:rsidRPr="004943E7" w:rsidRDefault="0088418E" w:rsidP="00BC00BF">
            <w:pPr>
              <w:pStyle w:val="TabelleText"/>
              <w:spacing w:before="240"/>
            </w:pPr>
            <w:r w:rsidRPr="004943E7">
              <w:t>Nachweise durch Testuser oder Sichtung in Testumgebung.</w:t>
            </w:r>
          </w:p>
          <w:p w14:paraId="3315C486" w14:textId="40A4839F" w:rsidR="0088418E" w:rsidRPr="004943E7" w:rsidRDefault="0088418E" w:rsidP="00BC00BF">
            <w:pPr>
              <w:pStyle w:val="TabelleText"/>
              <w:spacing w:before="240"/>
            </w:pPr>
            <w:r w:rsidRPr="004943E7">
              <w:lastRenderedPageBreak/>
              <w:t>Sicherstellen, dass keine Fremdkonten fälschlich als „eigene Konten“ erkannt werden.</w:t>
            </w:r>
          </w:p>
        </w:tc>
        <w:tc>
          <w:tcPr>
            <w:tcW w:w="985" w:type="pct"/>
            <w:tcBorders>
              <w:top w:val="single" w:sz="2" w:space="0" w:color="272727"/>
              <w:left w:val="single" w:sz="48" w:space="0" w:color="FFFFFF" w:themeColor="background1"/>
              <w:bottom w:val="single" w:sz="2" w:space="0" w:color="272727"/>
              <w:right w:val="nil"/>
            </w:tcBorders>
          </w:tcPr>
          <w:p w14:paraId="6521170E" w14:textId="58FB9CAA" w:rsidR="0088418E" w:rsidRPr="004943E7" w:rsidRDefault="0088418E" w:rsidP="00BC00BF">
            <w:pPr>
              <w:pStyle w:val="TabelleText"/>
              <w:spacing w:before="240"/>
            </w:pPr>
            <w:r w:rsidRPr="004943E7">
              <w:lastRenderedPageBreak/>
              <w:t>(Prüfungs-/Zertifizierungs-) Nachweis über Einhaltung des Artikels.</w:t>
            </w:r>
          </w:p>
        </w:tc>
      </w:tr>
      <w:tr w:rsidR="00BC00BF" w:rsidRPr="00201374" w14:paraId="6F468072" w14:textId="77777777" w:rsidTr="00BC00BF">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49E4F2E1" w14:textId="676D1FDE" w:rsidR="00BC00BF" w:rsidRPr="00BC00BF" w:rsidRDefault="00BC00BF" w:rsidP="004943E7">
            <w:pPr>
              <w:pStyle w:val="TabelleText"/>
              <w:rPr>
                <w:b/>
                <w:bCs/>
              </w:rPr>
            </w:pPr>
            <w:r w:rsidRPr="00BC00BF">
              <w:rPr>
                <w:b/>
                <w:bCs/>
              </w:rPr>
              <w:t>Artikel 16 - Kleinbetragszahlungen</w:t>
            </w:r>
          </w:p>
        </w:tc>
      </w:tr>
      <w:tr w:rsidR="00BC00BF" w:rsidRPr="00201374" w14:paraId="14307B46"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707C5798" w14:textId="4CA6B3EF" w:rsidR="0088418E" w:rsidRPr="004943E7" w:rsidRDefault="00BC00BF" w:rsidP="00BC00BF">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053057D9" w14:textId="20BE4FA1" w:rsidR="0088418E" w:rsidRPr="004943E7" w:rsidRDefault="0088418E" w:rsidP="00BC00BF">
            <w:pPr>
              <w:pStyle w:val="TabelleText"/>
              <w:spacing w:before="240"/>
            </w:pPr>
            <w:r w:rsidRPr="004943E7">
              <w:t xml:space="preserve">Bei Auslösen eines elektronischen Fernzahlungsvorgangs durch den Zahler dürfen Zahlungsdienstleister von der Vorgabe einer starken Kundenauthentifizierung absehen, wenn folgende Bedingungen erfüllt sind: </w:t>
            </w:r>
          </w:p>
          <w:p w14:paraId="5E21E291" w14:textId="4001895D" w:rsidR="0088418E" w:rsidRPr="004943E7" w:rsidRDefault="0088418E" w:rsidP="00BC00BF">
            <w:pPr>
              <w:pStyle w:val="TabelleText"/>
              <w:spacing w:before="240"/>
            </w:pPr>
            <w:r w:rsidRPr="004943E7">
              <w:t xml:space="preserve">a) Der Betrag des elektronischen Fernzahlungsvorgangs geht nicht über 30 EUR hinaus, und </w:t>
            </w:r>
          </w:p>
          <w:p w14:paraId="25251838" w14:textId="15FF7F44" w:rsidR="0088418E" w:rsidRPr="004943E7" w:rsidRDefault="0088418E" w:rsidP="00BC00BF">
            <w:pPr>
              <w:pStyle w:val="TabelleText"/>
              <w:spacing w:before="240"/>
            </w:pPr>
            <w:r w:rsidRPr="004943E7">
              <w:t xml:space="preserve">b) die früheren elektronischen Fernzahlungsvorgänge, die vom Zahler seit der letzten Durchführung einer starken Kundenauthentifizierung ausgelöst wurden, gehen zusammengenommen nicht über 100 EUR hinaus, oder </w:t>
            </w:r>
          </w:p>
          <w:p w14:paraId="593CC915" w14:textId="1B1EE4BA" w:rsidR="0088418E" w:rsidRPr="004943E7" w:rsidRDefault="0088418E" w:rsidP="00BC00BF">
            <w:pPr>
              <w:pStyle w:val="TabelleText"/>
              <w:spacing w:before="240"/>
            </w:pPr>
            <w:r w:rsidRPr="004943E7">
              <w:t>c) seit der letzten Durchführung einer starken Kundenauthentifizierung hat der Zahler nacheinander nicht mehr als fünf einzelne elektronische Fernzahlungsvorgänge ausgelöst.</w:t>
            </w:r>
          </w:p>
        </w:tc>
        <w:tc>
          <w:tcPr>
            <w:tcW w:w="1373" w:type="pct"/>
            <w:tcBorders>
              <w:top w:val="single" w:sz="2" w:space="0" w:color="272727"/>
              <w:left w:val="nil"/>
              <w:bottom w:val="single" w:sz="2" w:space="0" w:color="272727"/>
              <w:right w:val="single" w:sz="48" w:space="0" w:color="FFFFFF" w:themeColor="background1"/>
            </w:tcBorders>
          </w:tcPr>
          <w:p w14:paraId="36DF2A41" w14:textId="77777777" w:rsidR="0088418E" w:rsidRPr="004943E7" w:rsidRDefault="0088418E" w:rsidP="00BC00BF">
            <w:pPr>
              <w:pStyle w:val="TabelleText"/>
              <w:spacing w:before="240"/>
            </w:pPr>
            <w:r w:rsidRPr="004943E7">
              <w:t>Bei elektronischen Fernzahlungen (z. B. Internetkartenzahlungen) darf die SKA entfallen, wenn:</w:t>
            </w:r>
          </w:p>
          <w:p w14:paraId="2A64C346" w14:textId="77777777" w:rsidR="0088418E" w:rsidRPr="004943E7" w:rsidRDefault="0088418E" w:rsidP="00BC00BF">
            <w:pPr>
              <w:pStyle w:val="TabelleText"/>
              <w:spacing w:before="240"/>
            </w:pPr>
            <w:r w:rsidRPr="004943E7">
              <w:t>Einzelbetrag ≤ 30 EUR</w:t>
            </w:r>
            <w:r w:rsidRPr="004943E7">
              <w:br/>
              <w:t>und</w:t>
            </w:r>
          </w:p>
          <w:p w14:paraId="76A42F17" w14:textId="77777777" w:rsidR="0088418E" w:rsidRPr="004943E7" w:rsidRDefault="0088418E" w:rsidP="00BC00BF">
            <w:pPr>
              <w:pStyle w:val="TabelleText"/>
              <w:spacing w:before="240"/>
            </w:pPr>
            <w:r w:rsidRPr="004943E7">
              <w:t>kumulierte Zahlungen seit letzter SKA ≤ 100 EUR oder</w:t>
            </w:r>
          </w:p>
          <w:p w14:paraId="13AF7D52" w14:textId="77777777" w:rsidR="0088418E" w:rsidRPr="004943E7" w:rsidRDefault="0088418E" w:rsidP="00BC00BF">
            <w:pPr>
              <w:pStyle w:val="TabelleText"/>
              <w:spacing w:before="240"/>
            </w:pPr>
            <w:r w:rsidRPr="004943E7">
              <w:t>höchstens fünf aufeinanderfolgende Vorgänge seit letzter SKA.</w:t>
            </w:r>
          </w:p>
          <w:p w14:paraId="0BFB07EB" w14:textId="77777777" w:rsidR="0088418E" w:rsidRPr="004943E7" w:rsidRDefault="0088418E" w:rsidP="00BC00BF">
            <w:pPr>
              <w:pStyle w:val="TabelleText"/>
              <w:spacing w:before="240"/>
            </w:pPr>
          </w:p>
        </w:tc>
        <w:tc>
          <w:tcPr>
            <w:tcW w:w="1004" w:type="pct"/>
            <w:tcBorders>
              <w:top w:val="single" w:sz="2" w:space="0" w:color="272727"/>
              <w:left w:val="single" w:sz="48" w:space="0" w:color="FFFFFF" w:themeColor="background1"/>
              <w:bottom w:val="single" w:sz="2" w:space="0" w:color="272727"/>
              <w:right w:val="nil"/>
            </w:tcBorders>
          </w:tcPr>
          <w:p w14:paraId="254B82FB" w14:textId="0F774732" w:rsidR="0088418E" w:rsidRPr="004943E7" w:rsidRDefault="0088418E" w:rsidP="00BC00BF">
            <w:pPr>
              <w:pStyle w:val="TabelleText"/>
              <w:spacing w:before="240"/>
            </w:pPr>
            <w:r w:rsidRPr="004943E7">
              <w:t>Prüfung des fachlichen und technischen Konzeptes für Kartenzahlungen.</w:t>
            </w:r>
          </w:p>
          <w:p w14:paraId="7DD495EB" w14:textId="7714E940" w:rsidR="0088418E" w:rsidRPr="004943E7" w:rsidRDefault="0088418E" w:rsidP="00BC00BF">
            <w:pPr>
              <w:pStyle w:val="TabelleText"/>
              <w:spacing w:before="240"/>
            </w:pPr>
            <w:r w:rsidRPr="004943E7">
              <w:t xml:space="preserve">Prüfung, ob diese „Ausnahme“ nicht für andere Kartenzahlungen genutzt wird (z. B. POS-Zahlungen) </w:t>
            </w:r>
            <w:r w:rsidRPr="004943E7">
              <w:sym w:font="Wingdings" w:char="F0E0"/>
            </w:r>
            <w:r w:rsidRPr="004943E7">
              <w:t xml:space="preserve"> in der Regel gibt es in der Transaktion ein </w:t>
            </w:r>
            <w:r w:rsidR="00D41CB8" w:rsidRPr="004943E7">
              <w:t>Flag</w:t>
            </w:r>
            <w:r w:rsidRPr="004943E7">
              <w:t xml:space="preserve"> bspw. „cls – contactless“.</w:t>
            </w:r>
          </w:p>
          <w:p w14:paraId="0DB20608" w14:textId="05C21C50" w:rsidR="0088418E" w:rsidRPr="004943E7" w:rsidRDefault="0088418E" w:rsidP="00BC00BF">
            <w:pPr>
              <w:pStyle w:val="TabelleText"/>
              <w:spacing w:before="240"/>
            </w:pPr>
            <w:r w:rsidRPr="004943E7">
              <w:t>Gibt es unterschiedliche Methoden für Debit- und Kreditkarten?</w:t>
            </w:r>
          </w:p>
          <w:p w14:paraId="281C29CD" w14:textId="02C4DCEB" w:rsidR="0088418E" w:rsidRPr="004943E7" w:rsidRDefault="0088418E" w:rsidP="00BC00BF">
            <w:pPr>
              <w:pStyle w:val="TabelleText"/>
              <w:spacing w:before="240"/>
            </w:pPr>
            <w:r w:rsidRPr="004943E7">
              <w:t>Datenauswertungen der Transaktionen für einen bestimmten Zeitraum und Prüfung, ob die Limite und Anzahl ohne SKA eingehalten werden.</w:t>
            </w:r>
          </w:p>
          <w:p w14:paraId="386B7B51" w14:textId="78452C7D" w:rsidR="0088418E" w:rsidRPr="004943E7" w:rsidRDefault="0088418E" w:rsidP="00BC00BF">
            <w:pPr>
              <w:pStyle w:val="TabelleText"/>
              <w:spacing w:before="240"/>
            </w:pPr>
            <w:r w:rsidRPr="004943E7">
              <w:t xml:space="preserve">Prüfung, welche Methodik genutzt wird: Accumulator (Art. 16b) oder counter (Art. 16c) und ob die SKA </w:t>
            </w:r>
            <w:r w:rsidRPr="004943E7">
              <w:lastRenderedPageBreak/>
              <w:t>verlangt wird, sofern die Erleichterungsgrenzen überschritten sind.</w:t>
            </w:r>
          </w:p>
        </w:tc>
        <w:tc>
          <w:tcPr>
            <w:tcW w:w="985" w:type="pct"/>
            <w:tcBorders>
              <w:top w:val="single" w:sz="2" w:space="0" w:color="272727"/>
              <w:left w:val="single" w:sz="48" w:space="0" w:color="FFFFFF" w:themeColor="background1"/>
              <w:bottom w:val="single" w:sz="2" w:space="0" w:color="272727"/>
              <w:right w:val="nil"/>
            </w:tcBorders>
          </w:tcPr>
          <w:p w14:paraId="114BAC7C" w14:textId="77777777" w:rsidR="0088418E" w:rsidRPr="004943E7" w:rsidRDefault="0088418E" w:rsidP="00BC00BF">
            <w:pPr>
              <w:pStyle w:val="TabelleText"/>
              <w:spacing w:before="240"/>
            </w:pPr>
            <w:r w:rsidRPr="004943E7">
              <w:lastRenderedPageBreak/>
              <w:t>(Prüfungs-/Zertifizierungs-) Nachweis über Einhaltung des Artikels.</w:t>
            </w:r>
          </w:p>
          <w:p w14:paraId="0E66AE11" w14:textId="77777777" w:rsidR="0088418E" w:rsidRPr="004943E7" w:rsidRDefault="0088418E" w:rsidP="00BC00BF">
            <w:pPr>
              <w:pStyle w:val="TabelleText"/>
              <w:spacing w:before="240"/>
            </w:pPr>
          </w:p>
        </w:tc>
      </w:tr>
      <w:tr w:rsidR="00BC00BF" w:rsidRPr="00201374" w14:paraId="4B74D6E0" w14:textId="77777777" w:rsidTr="00BC00BF">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470FFD4A" w14:textId="6D3966B1" w:rsidR="00BC00BF" w:rsidRPr="00BC00BF" w:rsidRDefault="00BC00BF" w:rsidP="004943E7">
            <w:pPr>
              <w:pStyle w:val="TabelleText"/>
              <w:rPr>
                <w:b/>
                <w:bCs/>
              </w:rPr>
            </w:pPr>
            <w:r w:rsidRPr="00BC00BF">
              <w:rPr>
                <w:b/>
                <w:bCs/>
              </w:rPr>
              <w:t>Artikel 17 - Von Unternehmen genutzte sichere Zahlungsprozesse und -protokolle</w:t>
            </w:r>
          </w:p>
        </w:tc>
      </w:tr>
      <w:tr w:rsidR="00BC00BF" w:rsidRPr="00201374" w14:paraId="6B852204"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38354324" w14:textId="38F46834" w:rsidR="0088418E" w:rsidRPr="004943E7" w:rsidRDefault="00BC00BF" w:rsidP="00BC00BF">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3DFD72D4" w14:textId="10C8BB83" w:rsidR="0088418E" w:rsidRPr="004943E7" w:rsidRDefault="0088418E" w:rsidP="00BC00BF">
            <w:pPr>
              <w:pStyle w:val="TabelleText"/>
              <w:spacing w:before="240"/>
            </w:pPr>
            <w:r w:rsidRPr="004943E7">
              <w:t>Bei juristischen Personen, die elektronische Zahlungsvorgänge über dedizierte Zahlungsprozesse oder -protokolle auslösen, die nur Zahlern zur Verfügung stehen, bei denen es sich nicht um Verbraucher handelt, können Zahlungsdienstleister von der Vorgabe einer starken Kundenauthentifizierung absehen, wenn die zuständigen Behörden der Auffassung sind, dass diese Prozesse oder Protokolle mindestens ein vergleichbares Sicherheitsniveau wie das in der Richtlinie (EU) 2015/2366 vorgesehene gewährleisten.</w:t>
            </w:r>
          </w:p>
        </w:tc>
        <w:tc>
          <w:tcPr>
            <w:tcW w:w="1373" w:type="pct"/>
            <w:tcBorders>
              <w:top w:val="single" w:sz="2" w:space="0" w:color="272727"/>
              <w:left w:val="nil"/>
              <w:bottom w:val="single" w:sz="2" w:space="0" w:color="272727"/>
              <w:right w:val="single" w:sz="48" w:space="0" w:color="FFFFFF" w:themeColor="background1"/>
            </w:tcBorders>
          </w:tcPr>
          <w:p w14:paraId="0A780769" w14:textId="77777777" w:rsidR="0088418E" w:rsidRPr="004943E7" w:rsidRDefault="0088418E" w:rsidP="00BC00BF">
            <w:pPr>
              <w:pStyle w:val="TabelleText"/>
              <w:spacing w:before="240"/>
            </w:pPr>
            <w:r w:rsidRPr="004943E7">
              <w:t>Wenn Unternehmen dedizierte Zahlungsprozesse (hier sind sowohl Electronic-Banking als auch Kartenzahlungen im Internet gemeint) nutzen, die mindestens ein vergleichbares Sicherheitsniveau wie PSD2/SKA bieten, kann die zuständige Behörde eine Ausnahme zulassen.</w:t>
            </w:r>
          </w:p>
          <w:p w14:paraId="3F2B1571" w14:textId="77777777" w:rsidR="0088418E" w:rsidRPr="004943E7" w:rsidRDefault="0088418E" w:rsidP="00BC00BF">
            <w:pPr>
              <w:pStyle w:val="TabelleText"/>
              <w:spacing w:before="240"/>
            </w:pPr>
          </w:p>
        </w:tc>
        <w:tc>
          <w:tcPr>
            <w:tcW w:w="1004" w:type="pct"/>
            <w:tcBorders>
              <w:top w:val="single" w:sz="2" w:space="0" w:color="272727"/>
              <w:left w:val="single" w:sz="48" w:space="0" w:color="FFFFFF" w:themeColor="background1"/>
              <w:bottom w:val="single" w:sz="2" w:space="0" w:color="272727"/>
              <w:right w:val="nil"/>
            </w:tcBorders>
          </w:tcPr>
          <w:p w14:paraId="4EB54BA7" w14:textId="3D8DA8AE" w:rsidR="0088418E" w:rsidRPr="004943E7" w:rsidRDefault="0088418E" w:rsidP="00BC00BF">
            <w:pPr>
              <w:pStyle w:val="TabelleText"/>
              <w:spacing w:before="240"/>
            </w:pPr>
            <w:r w:rsidRPr="004943E7">
              <w:t xml:space="preserve">Identifikation betroffener Produkte (z. B. Firmenkarten). </w:t>
            </w:r>
          </w:p>
          <w:p w14:paraId="30AE71D7" w14:textId="7E8D024F" w:rsidR="0088418E" w:rsidRPr="004943E7" w:rsidRDefault="0088418E" w:rsidP="00BC00BF">
            <w:pPr>
              <w:pStyle w:val="TabelleText"/>
              <w:spacing w:before="240"/>
            </w:pPr>
            <w:r w:rsidRPr="004943E7">
              <w:t xml:space="preserve">Nachweis einholen, dass die Bank hierfür eine Zustimmung der Aufsicht hat. </w:t>
            </w:r>
          </w:p>
          <w:p w14:paraId="72E27580" w14:textId="7FCE4D0E" w:rsidR="0088418E" w:rsidRPr="004943E7" w:rsidRDefault="0088418E" w:rsidP="00BC00BF">
            <w:pPr>
              <w:pStyle w:val="TabelleText"/>
              <w:spacing w:before="240"/>
            </w:pPr>
            <w:r w:rsidRPr="004943E7">
              <w:t>Prüfung der dokumentierten Sicherheitsarchitektur dieser speziellen Zahlungsprozesse.</w:t>
            </w:r>
          </w:p>
        </w:tc>
        <w:tc>
          <w:tcPr>
            <w:tcW w:w="985" w:type="pct"/>
            <w:tcBorders>
              <w:top w:val="single" w:sz="2" w:space="0" w:color="272727"/>
              <w:left w:val="single" w:sz="48" w:space="0" w:color="FFFFFF" w:themeColor="background1"/>
              <w:bottom w:val="single" w:sz="2" w:space="0" w:color="272727"/>
              <w:right w:val="nil"/>
            </w:tcBorders>
          </w:tcPr>
          <w:p w14:paraId="2052B74C" w14:textId="77777777" w:rsidR="0088418E" w:rsidRPr="004943E7" w:rsidRDefault="0088418E" w:rsidP="00BC00BF">
            <w:pPr>
              <w:pStyle w:val="TabelleText"/>
              <w:spacing w:before="240"/>
            </w:pPr>
            <w:r w:rsidRPr="004943E7">
              <w:t>(Prüfungs-/Zertifizierungs-) Nachweis über Einhaltung des Artikels.</w:t>
            </w:r>
          </w:p>
          <w:p w14:paraId="74C2AD74" w14:textId="77777777" w:rsidR="0088418E" w:rsidRPr="004943E7" w:rsidRDefault="0088418E" w:rsidP="00BC00BF">
            <w:pPr>
              <w:pStyle w:val="TabelleText"/>
              <w:spacing w:before="240"/>
            </w:pPr>
          </w:p>
        </w:tc>
      </w:tr>
      <w:tr w:rsidR="00BC00BF" w:rsidRPr="00201374" w14:paraId="767DE8D4" w14:textId="77777777" w:rsidTr="00BC00BF">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24629F17" w14:textId="6E5D7ACA" w:rsidR="00BC00BF" w:rsidRPr="00BC00BF" w:rsidRDefault="00BC00BF" w:rsidP="004943E7">
            <w:pPr>
              <w:pStyle w:val="TabelleText"/>
              <w:rPr>
                <w:b/>
                <w:bCs/>
              </w:rPr>
            </w:pPr>
            <w:r w:rsidRPr="00BC00BF">
              <w:rPr>
                <w:b/>
                <w:bCs/>
              </w:rPr>
              <w:t>Artikel 18 - Transaktionsrisikoanalyse</w:t>
            </w:r>
          </w:p>
        </w:tc>
      </w:tr>
      <w:tr w:rsidR="00BC00BF" w:rsidRPr="00201374" w14:paraId="5F8CC449"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05E857CB" w14:textId="7DCC23A6" w:rsidR="0088418E" w:rsidRPr="004943E7" w:rsidRDefault="00BC00BF" w:rsidP="006574B2">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32ABEC06" w14:textId="7651C457" w:rsidR="0088418E" w:rsidRPr="004943E7" w:rsidRDefault="0088418E" w:rsidP="006574B2">
            <w:pPr>
              <w:pStyle w:val="TabelleText"/>
              <w:spacing w:before="240"/>
            </w:pPr>
            <w:r w:rsidRPr="004943E7">
              <w:t>Zahlungsdienstleister können von der Vorgabe einer starken Kundenauthentifizierung absehen, wenn der Zahler einen elektronischen Fernzahlungsvorgang auslöst, für den der Zahlungsdienstleister ermittelt hat, dass er gemäß den in Art. 2 und in Abs. 2 Buchstabe c beschriebenen Transaktionsüberwachungsmechanismen mit einem niedrigen Risiko verbunden ist.</w:t>
            </w:r>
          </w:p>
        </w:tc>
        <w:tc>
          <w:tcPr>
            <w:tcW w:w="1373" w:type="pct"/>
            <w:tcBorders>
              <w:top w:val="single" w:sz="2" w:space="0" w:color="272727"/>
              <w:left w:val="nil"/>
              <w:bottom w:val="single" w:sz="2" w:space="0" w:color="272727"/>
              <w:right w:val="single" w:sz="48" w:space="0" w:color="FFFFFF" w:themeColor="background1"/>
            </w:tcBorders>
          </w:tcPr>
          <w:p w14:paraId="2C9A3E74" w14:textId="029E8E82" w:rsidR="0088418E" w:rsidRPr="004943E7" w:rsidRDefault="0088418E" w:rsidP="006574B2">
            <w:pPr>
              <w:pStyle w:val="TabelleText"/>
              <w:spacing w:before="240"/>
            </w:pPr>
            <w:r w:rsidRPr="004943E7">
              <w:t xml:space="preserve">Hier sind sowohl Electronic-Banking als auch Kartenzahlungen im Internet gemeint. </w:t>
            </w:r>
          </w:p>
          <w:p w14:paraId="175ADCAC" w14:textId="17CDC3CE" w:rsidR="0088418E" w:rsidRPr="004943E7" w:rsidRDefault="0088418E" w:rsidP="006574B2">
            <w:pPr>
              <w:pStyle w:val="TabelleText"/>
              <w:spacing w:before="240"/>
            </w:pPr>
            <w:r w:rsidRPr="004943E7">
              <w:t>Diese Ausnahme kann nur genutzt werden, wenn Transaktionsüberwachungs-mechanismen (s. Art. 2 Abs. 2 c) genutzt werden.</w:t>
            </w:r>
          </w:p>
          <w:p w14:paraId="3C9F6325" w14:textId="4BDD809E" w:rsidR="0088418E" w:rsidRPr="004943E7" w:rsidRDefault="0088418E" w:rsidP="006574B2">
            <w:pPr>
              <w:pStyle w:val="TabelleText"/>
              <w:spacing w:before="240"/>
            </w:pPr>
            <w:r w:rsidRPr="004943E7">
              <w:t>Die Risikoermittlung erfolgt im Wesentlichen durch die Betrugsratenberechnung, s. Abs. 2 a) und b).</w:t>
            </w:r>
          </w:p>
          <w:p w14:paraId="4B81E48A" w14:textId="0B9C0285" w:rsidR="0088418E" w:rsidRPr="004943E7" w:rsidRDefault="0088418E" w:rsidP="006574B2">
            <w:pPr>
              <w:pStyle w:val="TabelleText"/>
              <w:spacing w:before="240"/>
            </w:pPr>
            <w:r w:rsidRPr="004943E7">
              <w:lastRenderedPageBreak/>
              <w:t xml:space="preserve">Kartenzahlungen und Electronic-Banking Vorgänge sind hier getrennt zu betrachten. </w:t>
            </w:r>
          </w:p>
          <w:p w14:paraId="088A6612" w14:textId="3976E65C" w:rsidR="0088418E" w:rsidRPr="004943E7" w:rsidRDefault="0088418E" w:rsidP="006574B2">
            <w:pPr>
              <w:pStyle w:val="TabelleText"/>
              <w:spacing w:before="240"/>
            </w:pPr>
            <w:r w:rsidRPr="004943E7">
              <w:t xml:space="preserve">Nutzt ein Institut den Schwellenwert nur für die Kartenzahlungen, so darf die Ausnahme nicht für Electronic-Banking genutzt werden. </w:t>
            </w:r>
          </w:p>
        </w:tc>
        <w:tc>
          <w:tcPr>
            <w:tcW w:w="1004" w:type="pct"/>
            <w:tcBorders>
              <w:top w:val="single" w:sz="2" w:space="0" w:color="272727"/>
              <w:left w:val="single" w:sz="48" w:space="0" w:color="FFFFFF" w:themeColor="background1"/>
              <w:bottom w:val="single" w:sz="2" w:space="0" w:color="272727"/>
              <w:right w:val="nil"/>
            </w:tcBorders>
          </w:tcPr>
          <w:p w14:paraId="407A6362" w14:textId="030A33EE" w:rsidR="0088418E" w:rsidRPr="004943E7" w:rsidRDefault="0088418E" w:rsidP="006574B2">
            <w:pPr>
              <w:pStyle w:val="TabelleText"/>
              <w:spacing w:before="240"/>
            </w:pPr>
            <w:r w:rsidRPr="004943E7">
              <w:lastRenderedPageBreak/>
              <w:t>Prüfung der Methodik, Parametrisierung und technischen Umsetzung der Transaktionsrisikoanalyse.</w:t>
            </w:r>
          </w:p>
        </w:tc>
        <w:tc>
          <w:tcPr>
            <w:tcW w:w="985" w:type="pct"/>
            <w:tcBorders>
              <w:top w:val="single" w:sz="2" w:space="0" w:color="272727"/>
              <w:left w:val="single" w:sz="48" w:space="0" w:color="FFFFFF" w:themeColor="background1"/>
              <w:bottom w:val="single" w:sz="2" w:space="0" w:color="272727"/>
              <w:right w:val="nil"/>
            </w:tcBorders>
          </w:tcPr>
          <w:p w14:paraId="32436BD6" w14:textId="208AAC8C" w:rsidR="0088418E" w:rsidRPr="004943E7" w:rsidRDefault="0088418E" w:rsidP="006574B2">
            <w:pPr>
              <w:pStyle w:val="TabelleText"/>
              <w:spacing w:before="240"/>
            </w:pPr>
            <w:r w:rsidRPr="004943E7">
              <w:t>(Prüfungs-/Zertifizierungs-) Nachweis über Einhaltung des Artikels.</w:t>
            </w:r>
          </w:p>
        </w:tc>
      </w:tr>
      <w:tr w:rsidR="00BC00BF" w:rsidRPr="00201374" w14:paraId="6976E941" w14:textId="77777777" w:rsidTr="00BC00BF">
        <w:trPr>
          <w:trHeight w:val="63"/>
        </w:trPr>
        <w:tc>
          <w:tcPr>
            <w:tcW w:w="106" w:type="pct"/>
            <w:tcBorders>
              <w:top w:val="single" w:sz="2" w:space="0" w:color="272727"/>
              <w:left w:val="nil"/>
              <w:bottom w:val="single" w:sz="2" w:space="0" w:color="272727"/>
              <w:right w:val="single" w:sz="48" w:space="0" w:color="FFFFFF" w:themeColor="background1"/>
            </w:tcBorders>
          </w:tcPr>
          <w:p w14:paraId="7437B76E" w14:textId="0C47A071" w:rsidR="0088418E" w:rsidRPr="004943E7" w:rsidRDefault="00BC00BF" w:rsidP="006574B2">
            <w:pPr>
              <w:pStyle w:val="TabelleText"/>
              <w:spacing w:before="240"/>
            </w:pPr>
            <w:r>
              <w:t>(2)</w:t>
            </w:r>
          </w:p>
        </w:tc>
        <w:tc>
          <w:tcPr>
            <w:tcW w:w="1532" w:type="pct"/>
            <w:tcBorders>
              <w:top w:val="single" w:sz="2" w:space="0" w:color="272727"/>
              <w:left w:val="nil"/>
              <w:bottom w:val="single" w:sz="2" w:space="0" w:color="272727"/>
              <w:right w:val="single" w:sz="48" w:space="0" w:color="FFFFFF" w:themeColor="background1"/>
            </w:tcBorders>
          </w:tcPr>
          <w:p w14:paraId="35CC46DC" w14:textId="7B1968FA" w:rsidR="0088418E" w:rsidRPr="004943E7" w:rsidRDefault="0088418E" w:rsidP="006574B2">
            <w:pPr>
              <w:pStyle w:val="TabelleText"/>
              <w:spacing w:before="240"/>
            </w:pPr>
            <w:r w:rsidRPr="004943E7">
              <w:t xml:space="preserve">Ein elektronischer Zahlungsvorgang nach Abs. 1 gilt als Vorgang mit niedrigem Risiko, wenn alle nachstehenden Bedingungen erfüllt sind: </w:t>
            </w:r>
          </w:p>
          <w:p w14:paraId="0B007A64" w14:textId="2F2563B2" w:rsidR="0088418E" w:rsidRPr="004943E7" w:rsidRDefault="0088418E" w:rsidP="006574B2">
            <w:pPr>
              <w:pStyle w:val="TabelleText"/>
              <w:spacing w:before="240"/>
            </w:pPr>
            <w:r w:rsidRPr="004943E7">
              <w:t xml:space="preserve">a) Die vom Zahlungsdienstleister gemeldete und nach Art. 19 berechnete Betrugsrate für diese Art von Zahlungsvorgängen ist maximal so hoch wie die Referenzbetrugsrate, die in der Tabelle im Anhang für „kartengebundene elektronische Fernzahlungsvorgänge“ bzw. für „elektronische Überweisungen über einen Fernzugang“ angegeben ist. </w:t>
            </w:r>
          </w:p>
          <w:p w14:paraId="152CFBEC" w14:textId="486E6CA5" w:rsidR="0088418E" w:rsidRPr="004943E7" w:rsidRDefault="0088418E" w:rsidP="006574B2">
            <w:pPr>
              <w:pStyle w:val="TabelleText"/>
              <w:spacing w:before="240"/>
            </w:pPr>
            <w:r w:rsidRPr="004943E7">
              <w:t xml:space="preserve">b) Der Zahlungsbetrag geht nicht über den in der Tabelle im Anhang angegebenen jeweiligen Ausnahmeschwellenwert hinaus. </w:t>
            </w:r>
          </w:p>
          <w:p w14:paraId="3ADED033" w14:textId="7505F352" w:rsidR="0088418E" w:rsidRPr="004943E7" w:rsidRDefault="0088418E" w:rsidP="006574B2">
            <w:pPr>
              <w:pStyle w:val="TabelleText"/>
              <w:spacing w:before="240"/>
            </w:pPr>
            <w:r w:rsidRPr="004943E7">
              <w:t xml:space="preserve">c) Die Zahlungsdienstleister haben bei der Echtzeitrisikoanalyse keines der folgenden Szenarien festgestellt: </w:t>
            </w:r>
          </w:p>
          <w:p w14:paraId="659C73FD" w14:textId="4F4ACCA2" w:rsidR="0088418E" w:rsidRPr="004943E7" w:rsidRDefault="0088418E" w:rsidP="006574B2">
            <w:pPr>
              <w:pStyle w:val="TabelleText"/>
              <w:spacing w:before="240"/>
            </w:pPr>
            <w:r w:rsidRPr="004943E7">
              <w:t xml:space="preserve">i) ungewöhnliches Ausgabe- oder Verhaltensmuster des Zahlers; </w:t>
            </w:r>
          </w:p>
          <w:p w14:paraId="2006C2D9" w14:textId="039942C4" w:rsidR="0088418E" w:rsidRPr="004943E7" w:rsidRDefault="0088418E" w:rsidP="006574B2">
            <w:pPr>
              <w:pStyle w:val="TabelleText"/>
              <w:spacing w:before="240"/>
            </w:pPr>
            <w:r w:rsidRPr="004943E7">
              <w:lastRenderedPageBreak/>
              <w:t xml:space="preserve">ii) ungewöhnliche Informationen über den Zugriff auf das Zugangsgerät oder die Zugangssoftware des Zahlers; </w:t>
            </w:r>
          </w:p>
          <w:p w14:paraId="152426EC" w14:textId="7C9E137A" w:rsidR="0088418E" w:rsidRPr="004943E7" w:rsidRDefault="0088418E" w:rsidP="006574B2">
            <w:pPr>
              <w:pStyle w:val="TabelleText"/>
              <w:spacing w:before="240"/>
            </w:pPr>
            <w:r w:rsidRPr="004943E7">
              <w:t xml:space="preserve">iii) eine Malware-Infektion in einer Phase des Authentifizierungsverfahrens; </w:t>
            </w:r>
          </w:p>
          <w:p w14:paraId="40E5B346" w14:textId="575E372A" w:rsidR="0088418E" w:rsidRPr="004943E7" w:rsidRDefault="0088418E" w:rsidP="006574B2">
            <w:pPr>
              <w:pStyle w:val="TabelleText"/>
              <w:spacing w:before="240"/>
            </w:pPr>
            <w:r w:rsidRPr="004943E7">
              <w:t xml:space="preserve">iv) bekanntes Betrugsszenario bei der Erbringung von Zahlungsdienstleistungen; </w:t>
            </w:r>
          </w:p>
          <w:p w14:paraId="7EC5DCB4" w14:textId="54772C3C" w:rsidR="0088418E" w:rsidRPr="004943E7" w:rsidRDefault="0088418E" w:rsidP="006574B2">
            <w:pPr>
              <w:pStyle w:val="TabelleText"/>
              <w:spacing w:before="240"/>
            </w:pPr>
            <w:r w:rsidRPr="004943E7">
              <w:t xml:space="preserve">v) ungewöhnlicher Ort des Zahlers; </w:t>
            </w:r>
          </w:p>
          <w:p w14:paraId="7C30F8CD" w14:textId="07B0D5DD" w:rsidR="0088418E" w:rsidRPr="004943E7" w:rsidRDefault="0088418E" w:rsidP="006574B2">
            <w:pPr>
              <w:pStyle w:val="TabelleText"/>
              <w:spacing w:before="240"/>
            </w:pPr>
            <w:r w:rsidRPr="004943E7">
              <w:t>vi) Ort des Zahlers mit hohem Risiko.</w:t>
            </w:r>
          </w:p>
        </w:tc>
        <w:tc>
          <w:tcPr>
            <w:tcW w:w="1373" w:type="pct"/>
            <w:tcBorders>
              <w:top w:val="single" w:sz="2" w:space="0" w:color="272727"/>
              <w:left w:val="nil"/>
              <w:bottom w:val="single" w:sz="2" w:space="0" w:color="272727"/>
              <w:right w:val="single" w:sz="48" w:space="0" w:color="FFFFFF" w:themeColor="background1"/>
            </w:tcBorders>
          </w:tcPr>
          <w:p w14:paraId="45F516E1" w14:textId="18DD35A9" w:rsidR="0088418E" w:rsidRPr="004943E7" w:rsidRDefault="0088418E" w:rsidP="006574B2">
            <w:pPr>
              <w:pStyle w:val="TabelleText"/>
              <w:spacing w:before="240"/>
            </w:pPr>
            <w:r w:rsidRPr="004943E7">
              <w:lastRenderedPageBreak/>
              <w:t>Die Bedingungen des Art. 18 Abs. 2 a) bis c) müssen kumuliert erfüllt sein.</w:t>
            </w:r>
          </w:p>
          <w:p w14:paraId="667B8C81" w14:textId="77777777" w:rsidR="0088418E" w:rsidRPr="004943E7" w:rsidRDefault="0088418E" w:rsidP="006574B2">
            <w:pPr>
              <w:pStyle w:val="TabelleText"/>
              <w:spacing w:before="240"/>
            </w:pPr>
            <w:r w:rsidRPr="004943E7">
              <w:t xml:space="preserve">Definition Bankenverband: </w:t>
            </w:r>
          </w:p>
          <w:p w14:paraId="1E85D12E" w14:textId="25F7D14E" w:rsidR="0088418E" w:rsidRPr="004943E7" w:rsidRDefault="0088418E" w:rsidP="006574B2">
            <w:pPr>
              <w:pStyle w:val="TabelleText"/>
              <w:spacing w:before="240"/>
            </w:pPr>
            <w:r w:rsidRPr="004943E7">
              <w:t>Gemäß Art. 18 kann bei Zahlungen auf eine SKA verzichtet werden, falls anhand einer Transaktions-(Risiko)-analyse festgestellt wird, dass die tatsächliche Betrugsrate eine gegebene Referenzbetrugsrate nicht übersteigt. Der maximale Zahlungsbetrag (= Schwellenwert), bis zu dem diese Ausnahme gilt, hängt von der Referenzbetrugsrate ab. Maximaler Zahlungsbetrag und Referenzbetrugsraten werden in eine Tabelle im Anhang der [RTS] vorgegeben.</w:t>
            </w:r>
          </w:p>
          <w:p w14:paraId="7DC5D3D2" w14:textId="77777777" w:rsidR="0088418E" w:rsidRPr="004943E7" w:rsidRDefault="0088418E" w:rsidP="006574B2">
            <w:pPr>
              <w:pStyle w:val="TabelleText"/>
              <w:spacing w:before="240"/>
            </w:pPr>
          </w:p>
        </w:tc>
        <w:tc>
          <w:tcPr>
            <w:tcW w:w="1004" w:type="pct"/>
            <w:tcBorders>
              <w:top w:val="single" w:sz="2" w:space="0" w:color="272727"/>
              <w:left w:val="single" w:sz="48" w:space="0" w:color="FFFFFF" w:themeColor="background1"/>
              <w:bottom w:val="single" w:sz="2" w:space="0" w:color="272727"/>
              <w:right w:val="nil"/>
            </w:tcBorders>
          </w:tcPr>
          <w:p w14:paraId="127822CB" w14:textId="70D233C4" w:rsidR="0088418E" w:rsidRPr="004943E7" w:rsidRDefault="0088418E" w:rsidP="006574B2">
            <w:pPr>
              <w:pStyle w:val="TabelleText"/>
              <w:spacing w:before="240"/>
            </w:pPr>
            <w:r w:rsidRPr="004943E7">
              <w:t xml:space="preserve">Prüfung, ob die Berechnung der Betrugsrate nach den Vorgaben des Art. 18 Abs. 2 a) und b) erfolgt und die ermittelten Betrugsraten die Referenzbetrugsraten (s. </w:t>
            </w:r>
            <w:r w:rsidR="006574B2">
              <w:t>Abbildung 1: Referenzbetrugsraten</w:t>
            </w:r>
            <w:r w:rsidRPr="004943E7">
              <w:t>) nicht übersteigen:</w:t>
            </w:r>
          </w:p>
          <w:p w14:paraId="73416949" w14:textId="7E3081FD" w:rsidR="0088418E" w:rsidRPr="004943E7" w:rsidRDefault="0088418E" w:rsidP="006574B2">
            <w:pPr>
              <w:pStyle w:val="TabelleText"/>
              <w:spacing w:before="240"/>
            </w:pPr>
            <w:r w:rsidRPr="004943E7">
              <w:t>Prüfung, ob der in den Systemen hinterlegte (Ausnahme-)Schwellenwert lt. Anhang mit der Betrugsratenberechnung übereinstimmt: z. B. Administration der Schwellenwerte im Kernbanksystem.</w:t>
            </w:r>
          </w:p>
          <w:p w14:paraId="295C092A" w14:textId="4B18CDD4" w:rsidR="0088418E" w:rsidRPr="004943E7" w:rsidRDefault="0088418E" w:rsidP="006574B2">
            <w:pPr>
              <w:pStyle w:val="TabelleText"/>
              <w:spacing w:before="240"/>
            </w:pPr>
            <w:r w:rsidRPr="004943E7">
              <w:t xml:space="preserve">Prüfung, ob i. R. d. Echtzeitrisikoanalyse (gem. Art. 2 - Transaktionsüberwachungs-mechanismen) keines der Szenarien gem. Art. 18 Abs. 2 c) i) bis vi) festgestellt wurde. </w:t>
            </w:r>
          </w:p>
        </w:tc>
        <w:tc>
          <w:tcPr>
            <w:tcW w:w="985" w:type="pct"/>
            <w:tcBorders>
              <w:top w:val="single" w:sz="2" w:space="0" w:color="272727"/>
              <w:left w:val="single" w:sz="48" w:space="0" w:color="FFFFFF" w:themeColor="background1"/>
              <w:bottom w:val="single" w:sz="2" w:space="0" w:color="272727"/>
              <w:right w:val="nil"/>
            </w:tcBorders>
          </w:tcPr>
          <w:p w14:paraId="4AD85D0F" w14:textId="6374058E" w:rsidR="0088418E" w:rsidRPr="004943E7" w:rsidRDefault="0088418E" w:rsidP="006574B2">
            <w:pPr>
              <w:pStyle w:val="TabelleText"/>
              <w:spacing w:before="240"/>
            </w:pPr>
            <w:r w:rsidRPr="004943E7">
              <w:t>(Prüfungs-/Zertifizierungs-) Nachweis über Einhaltung des Artikels.</w:t>
            </w:r>
          </w:p>
        </w:tc>
      </w:tr>
      <w:tr w:rsidR="006574B2" w:rsidRPr="00201374" w14:paraId="7DE6231B" w14:textId="77777777" w:rsidTr="006574B2">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5D22D0CD" w14:textId="396B38D3" w:rsidR="006574B2" w:rsidRDefault="006574B2" w:rsidP="006574B2">
            <w:pPr>
              <w:pStyle w:val="TabelleText"/>
              <w:spacing w:before="240"/>
            </w:pPr>
          </w:p>
          <w:p w14:paraId="7897850A" w14:textId="77777777" w:rsidR="006574B2" w:rsidRDefault="006574B2" w:rsidP="006574B2"/>
          <w:p w14:paraId="59A7DF33" w14:textId="4E854BF2" w:rsidR="006574B2" w:rsidRDefault="006574B2" w:rsidP="006574B2"/>
          <w:p w14:paraId="34720523" w14:textId="77777777" w:rsidR="006574B2" w:rsidRDefault="006574B2" w:rsidP="006574B2"/>
          <w:p w14:paraId="3495F41D" w14:textId="77777777" w:rsidR="006574B2" w:rsidRDefault="006574B2" w:rsidP="006574B2"/>
          <w:p w14:paraId="5C877E4B" w14:textId="77777777" w:rsidR="006574B2" w:rsidRDefault="006574B2" w:rsidP="006574B2">
            <w:pPr>
              <w:keepNext/>
            </w:pPr>
            <w:r w:rsidRPr="004943E7">
              <w:rPr>
                <w:noProof/>
              </w:rPr>
              <w:drawing>
                <wp:inline distT="0" distB="0" distL="0" distR="0" wp14:anchorId="58724A0E" wp14:editId="330A5BB2">
                  <wp:extent cx="6607834" cy="2061746"/>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722022" cy="2097374"/>
                          </a:xfrm>
                          <a:prstGeom prst="rect">
                            <a:avLst/>
                          </a:prstGeom>
                        </pic:spPr>
                      </pic:pic>
                    </a:graphicData>
                  </a:graphic>
                </wp:inline>
              </w:drawing>
            </w:r>
          </w:p>
          <w:p w14:paraId="4A2B659D" w14:textId="086D1666" w:rsidR="006574B2" w:rsidRPr="006574B2" w:rsidRDefault="006574B2" w:rsidP="006574B2">
            <w:pPr>
              <w:pStyle w:val="Beschriftung"/>
            </w:pPr>
            <w:r>
              <w:t xml:space="preserve">Abbildung </w:t>
            </w:r>
            <w:fldSimple w:instr=" SEQ Abbildung \* ARABIC ">
              <w:r w:rsidR="00F00E09">
                <w:rPr>
                  <w:noProof/>
                </w:rPr>
                <w:t>1</w:t>
              </w:r>
            </w:fldSimple>
            <w:r>
              <w:t>:</w:t>
            </w:r>
            <w:r w:rsidRPr="001C0B75">
              <w:t xml:space="preserve"> Referenzbetrugsraten</w:t>
            </w:r>
          </w:p>
        </w:tc>
      </w:tr>
      <w:tr w:rsidR="00BC00BF" w:rsidRPr="00201374" w14:paraId="350E0B06" w14:textId="77777777" w:rsidTr="00BC00BF">
        <w:trPr>
          <w:trHeight w:val="63"/>
        </w:trPr>
        <w:tc>
          <w:tcPr>
            <w:tcW w:w="106" w:type="pct"/>
            <w:tcBorders>
              <w:top w:val="single" w:sz="2" w:space="0" w:color="272727"/>
              <w:left w:val="nil"/>
              <w:bottom w:val="single" w:sz="8" w:space="0" w:color="272727"/>
              <w:right w:val="single" w:sz="48" w:space="0" w:color="FFFFFF" w:themeColor="background1"/>
            </w:tcBorders>
          </w:tcPr>
          <w:p w14:paraId="3D367898" w14:textId="72E8C157" w:rsidR="0088418E" w:rsidRPr="004943E7" w:rsidRDefault="006574B2" w:rsidP="006574B2">
            <w:pPr>
              <w:pStyle w:val="TabelleText"/>
              <w:spacing w:before="240"/>
            </w:pPr>
            <w:r>
              <w:lastRenderedPageBreak/>
              <w:t>(3)</w:t>
            </w:r>
          </w:p>
        </w:tc>
        <w:tc>
          <w:tcPr>
            <w:tcW w:w="1532" w:type="pct"/>
            <w:tcBorders>
              <w:top w:val="single" w:sz="2" w:space="0" w:color="272727"/>
              <w:left w:val="nil"/>
              <w:bottom w:val="single" w:sz="8" w:space="0" w:color="272727"/>
              <w:right w:val="single" w:sz="48" w:space="0" w:color="FFFFFF" w:themeColor="background1"/>
            </w:tcBorders>
          </w:tcPr>
          <w:p w14:paraId="79409B1F" w14:textId="7AE8DBCD" w:rsidR="0088418E" w:rsidRPr="004943E7" w:rsidRDefault="0088418E" w:rsidP="006574B2">
            <w:pPr>
              <w:pStyle w:val="TabelleText"/>
              <w:spacing w:before="240"/>
            </w:pPr>
            <w:r w:rsidRPr="004943E7">
              <w:t xml:space="preserve">Zahlungsdienstleister, die elektronische Fernzahlungsvorgänge aufgrund ihres niedrigen Risikos von der starken Kundenauthentifizierung ausnehmen wollen, müssen mindestens die folgenden risikobasierten Faktoren berücksichtigen: </w:t>
            </w:r>
          </w:p>
          <w:p w14:paraId="1A6D8822" w14:textId="524537CA" w:rsidR="0088418E" w:rsidRPr="004943E7" w:rsidRDefault="0088418E" w:rsidP="006574B2">
            <w:pPr>
              <w:pStyle w:val="TabelleText"/>
              <w:spacing w:before="240"/>
            </w:pPr>
            <w:r w:rsidRPr="004943E7">
              <w:t xml:space="preserve">a) die früheren Ausgabemuster des betreffenden Zahlungsdienstnutzers; </w:t>
            </w:r>
          </w:p>
          <w:p w14:paraId="2ED04847" w14:textId="447A2503" w:rsidR="0088418E" w:rsidRPr="004943E7" w:rsidRDefault="0088418E" w:rsidP="006574B2">
            <w:pPr>
              <w:pStyle w:val="TabelleText"/>
              <w:spacing w:before="240"/>
            </w:pPr>
            <w:r w:rsidRPr="004943E7">
              <w:t xml:space="preserve">b) Zahlungsvorgangshistorie eines jeden Zahlungsdienstnutzers des Zahlungsdienstleisters; </w:t>
            </w:r>
          </w:p>
          <w:p w14:paraId="2BC4225B" w14:textId="1CEABBC2" w:rsidR="0088418E" w:rsidRPr="004943E7" w:rsidRDefault="0088418E" w:rsidP="006574B2">
            <w:pPr>
              <w:pStyle w:val="TabelleText"/>
              <w:spacing w:before="240"/>
            </w:pPr>
            <w:r w:rsidRPr="004943E7">
              <w:t xml:space="preserve">c) Ort des Zahlers und des Zahlungsempfängers zum Zeitpunkt des Zahlungsvorgangs, falls das Zugangsgerät oder die Software vom Zahlungsdienstleister bereitgestellt wird; </w:t>
            </w:r>
          </w:p>
          <w:p w14:paraId="6815E0D5" w14:textId="5856FE0D" w:rsidR="0088418E" w:rsidRPr="004943E7" w:rsidRDefault="0088418E" w:rsidP="006574B2">
            <w:pPr>
              <w:pStyle w:val="TabelleText"/>
              <w:spacing w:before="240"/>
            </w:pPr>
            <w:r w:rsidRPr="004943E7">
              <w:t xml:space="preserve">d) Erkennung ungewöhnlicher Zahlungsmuster des Zahlungsdienstnutzers im Vergleich zu seiner Zahlungsvorgangshistorie. </w:t>
            </w:r>
          </w:p>
          <w:p w14:paraId="340C19D0" w14:textId="60F4E5B8" w:rsidR="006574B2" w:rsidRPr="006574B2" w:rsidRDefault="0088418E" w:rsidP="00D41CB8">
            <w:pPr>
              <w:pStyle w:val="TabelleText"/>
              <w:spacing w:before="240"/>
            </w:pPr>
            <w:r w:rsidRPr="004943E7">
              <w:t>Bei seiner Bewertung erfasst der Zahlungsdienstleister alle genannten risikobasierten Faktoren für jeden einzelnen Zahlungsvorgang in einem Risikopunktesystem.</w:t>
            </w:r>
            <w:r w:rsidRPr="004943E7">
              <w:br/>
              <w:t>So kann entschieden werden, ob bei einem bestimmten Zahlungsvorgang auf eine starke Kundenauthentifizierung verzichtet werden darf.</w:t>
            </w:r>
          </w:p>
        </w:tc>
        <w:tc>
          <w:tcPr>
            <w:tcW w:w="1373" w:type="pct"/>
            <w:tcBorders>
              <w:top w:val="single" w:sz="2" w:space="0" w:color="272727"/>
              <w:left w:val="nil"/>
              <w:bottom w:val="single" w:sz="8" w:space="0" w:color="272727"/>
              <w:right w:val="single" w:sz="48" w:space="0" w:color="FFFFFF" w:themeColor="background1"/>
            </w:tcBorders>
          </w:tcPr>
          <w:p w14:paraId="4F470FD6" w14:textId="1219B76A" w:rsidR="0088418E" w:rsidRPr="004943E7" w:rsidRDefault="0088418E" w:rsidP="006574B2">
            <w:pPr>
              <w:pStyle w:val="TabelleText"/>
              <w:spacing w:before="240"/>
            </w:pPr>
            <w:r w:rsidRPr="004943E7">
              <w:t>Es werden risikobasierte Faktoren definiert, die berücksichtigt werden müssen, wenn elektronische Fernzahlungsvorgänge von der SKA ausgenommen werden sollen.</w:t>
            </w:r>
          </w:p>
        </w:tc>
        <w:tc>
          <w:tcPr>
            <w:tcW w:w="1004" w:type="pct"/>
            <w:tcBorders>
              <w:top w:val="single" w:sz="2" w:space="0" w:color="272727"/>
              <w:left w:val="single" w:sz="48" w:space="0" w:color="FFFFFF" w:themeColor="background1"/>
              <w:bottom w:val="single" w:sz="8" w:space="0" w:color="272727"/>
              <w:right w:val="nil"/>
            </w:tcBorders>
          </w:tcPr>
          <w:p w14:paraId="74376552" w14:textId="560D01D5" w:rsidR="0088418E" w:rsidRPr="004943E7" w:rsidRDefault="0088418E" w:rsidP="006574B2">
            <w:pPr>
              <w:pStyle w:val="TabelleText"/>
              <w:spacing w:before="240"/>
            </w:pPr>
            <w:r w:rsidRPr="004943E7">
              <w:t>Prüfung, ob die in den Abs. a) bis d) genannten risikobasierten Faktoren im Überwachungsmechanismus implementiert sind.</w:t>
            </w:r>
          </w:p>
        </w:tc>
        <w:tc>
          <w:tcPr>
            <w:tcW w:w="985" w:type="pct"/>
            <w:tcBorders>
              <w:top w:val="single" w:sz="2" w:space="0" w:color="272727"/>
              <w:left w:val="single" w:sz="48" w:space="0" w:color="FFFFFF" w:themeColor="background1"/>
              <w:bottom w:val="single" w:sz="8" w:space="0" w:color="272727"/>
              <w:right w:val="nil"/>
            </w:tcBorders>
          </w:tcPr>
          <w:p w14:paraId="0A291F0D" w14:textId="77777777" w:rsidR="0088418E" w:rsidRPr="004943E7" w:rsidRDefault="0088418E" w:rsidP="006574B2">
            <w:pPr>
              <w:pStyle w:val="TabelleText"/>
              <w:spacing w:before="240"/>
            </w:pPr>
            <w:r w:rsidRPr="004943E7">
              <w:t>(Prüfungs-/Zertifizierungs-) Nachweis über Einhaltung des Artikels.</w:t>
            </w:r>
          </w:p>
          <w:p w14:paraId="0C37002A" w14:textId="77777777" w:rsidR="0088418E" w:rsidRPr="004943E7" w:rsidRDefault="0088418E" w:rsidP="006574B2">
            <w:pPr>
              <w:pStyle w:val="TabelleText"/>
              <w:spacing w:before="240"/>
            </w:pPr>
          </w:p>
        </w:tc>
      </w:tr>
      <w:tr w:rsidR="006574B2" w:rsidRPr="00201374" w14:paraId="64B490A1" w14:textId="77777777" w:rsidTr="006574B2">
        <w:trPr>
          <w:trHeight w:val="63"/>
        </w:trPr>
        <w:tc>
          <w:tcPr>
            <w:tcW w:w="5000" w:type="pct"/>
            <w:gridSpan w:val="5"/>
            <w:tcBorders>
              <w:top w:val="single" w:sz="2" w:space="0" w:color="272727"/>
              <w:left w:val="nil"/>
              <w:bottom w:val="single" w:sz="8" w:space="0" w:color="272727"/>
              <w:right w:val="single" w:sz="48" w:space="0" w:color="FFFFFF" w:themeColor="background1"/>
            </w:tcBorders>
          </w:tcPr>
          <w:p w14:paraId="54CA01D1" w14:textId="6DBD4246" w:rsidR="006574B2" w:rsidRPr="004943E7" w:rsidRDefault="006574B2" w:rsidP="004943E7">
            <w:pPr>
              <w:pStyle w:val="TabelleText"/>
              <w:rPr>
                <w:b/>
                <w:bCs/>
              </w:rPr>
            </w:pPr>
            <w:r w:rsidRPr="004943E7">
              <w:rPr>
                <w:b/>
                <w:bCs/>
              </w:rPr>
              <w:t>Artikel 19 - Berechnung der Betrugsraten</w:t>
            </w:r>
          </w:p>
        </w:tc>
      </w:tr>
      <w:tr w:rsidR="00BC00BF" w:rsidRPr="00201374" w14:paraId="4E38BA8D" w14:textId="77777777" w:rsidTr="00BC00BF">
        <w:trPr>
          <w:trHeight w:val="63"/>
        </w:trPr>
        <w:tc>
          <w:tcPr>
            <w:tcW w:w="106" w:type="pct"/>
            <w:tcBorders>
              <w:top w:val="single" w:sz="2" w:space="0" w:color="272727"/>
              <w:left w:val="nil"/>
              <w:bottom w:val="single" w:sz="8" w:space="0" w:color="272727"/>
              <w:right w:val="single" w:sz="48" w:space="0" w:color="FFFFFF" w:themeColor="background1"/>
            </w:tcBorders>
          </w:tcPr>
          <w:p w14:paraId="207D79B5" w14:textId="630318B0" w:rsidR="0088418E" w:rsidRPr="004943E7" w:rsidRDefault="006574B2" w:rsidP="006574B2">
            <w:pPr>
              <w:pStyle w:val="TabelleText"/>
              <w:spacing w:before="240"/>
            </w:pPr>
            <w:r>
              <w:lastRenderedPageBreak/>
              <w:t>(1)</w:t>
            </w:r>
          </w:p>
        </w:tc>
        <w:tc>
          <w:tcPr>
            <w:tcW w:w="1532" w:type="pct"/>
            <w:tcBorders>
              <w:top w:val="single" w:sz="2" w:space="0" w:color="272727"/>
              <w:left w:val="nil"/>
              <w:bottom w:val="single" w:sz="8" w:space="0" w:color="272727"/>
              <w:right w:val="single" w:sz="48" w:space="0" w:color="FFFFFF" w:themeColor="background1"/>
            </w:tcBorders>
          </w:tcPr>
          <w:p w14:paraId="287A5E8E" w14:textId="1C5D3016" w:rsidR="0088418E" w:rsidRPr="004943E7" w:rsidRDefault="0088418E" w:rsidP="006574B2">
            <w:pPr>
              <w:pStyle w:val="TabelleText"/>
              <w:spacing w:before="240"/>
            </w:pPr>
            <w:r w:rsidRPr="004943E7">
              <w:t xml:space="preserve">Der Zahlungsdienstleister hat für jede der in der Tabelle im Anhang aufgeführte Zahlungsvorgangsart sicherzustellen, dass die Gesamtbetrugsraten sowohl für mit einer starken Kundenauthentifizierung ausgeführte Zahlungsvorgänge als auch für Zahlungsvorgänge, die im Rahmen einer der in den Artikeln 13 bis 18 genannten Ausnahmen ausgeführt wurden, die in der Tabelle im Anhang für die jeweilige Zahlungsvorgangsart angegebene Referenzbetrugsrate nicht überschreiten. </w:t>
            </w:r>
          </w:p>
          <w:p w14:paraId="798A3B95" w14:textId="77777777" w:rsidR="0088418E" w:rsidRPr="004943E7" w:rsidRDefault="0088418E" w:rsidP="006574B2">
            <w:pPr>
              <w:pStyle w:val="TabelleText"/>
              <w:spacing w:before="240"/>
            </w:pPr>
            <w:r w:rsidRPr="004943E7">
              <w:t>Die Gesamtbetrugsrate für jede Zahlungsvorgangsart errechnet sich als Gesamtwert der nicht autorisierten oder betrügerischen Fernzahlungsvorgänge, unabhängig davon, ob der Betrag wiedererlangt wurde, dividiert durch den Gesamtwert aller Fernzahlungsvorgänge für dieselbe Zahlungsvorgangsart, die sowohl mit einer starken Kundenauthentifizierung als auch im Rahmen einer der in den Artikeln 13 bis 18 genannten Ausnahmen ausgeführt wurden, wobei diese Aufstellung fortlaufend quartalsweise (90 Tage) erfolgt.</w:t>
            </w:r>
          </w:p>
          <w:p w14:paraId="74A4C76A" w14:textId="77777777" w:rsidR="0088418E" w:rsidRPr="004943E7" w:rsidRDefault="0088418E" w:rsidP="006574B2">
            <w:pPr>
              <w:pStyle w:val="TabelleText"/>
              <w:spacing w:before="240"/>
            </w:pPr>
          </w:p>
        </w:tc>
        <w:tc>
          <w:tcPr>
            <w:tcW w:w="1373" w:type="pct"/>
            <w:tcBorders>
              <w:top w:val="single" w:sz="2" w:space="0" w:color="272727"/>
              <w:left w:val="nil"/>
              <w:bottom w:val="single" w:sz="8" w:space="0" w:color="272727"/>
              <w:right w:val="single" w:sz="48" w:space="0" w:color="FFFFFF" w:themeColor="background1"/>
            </w:tcBorders>
          </w:tcPr>
          <w:p w14:paraId="35FFBFBB" w14:textId="77777777" w:rsidR="0088418E" w:rsidRPr="004943E7" w:rsidRDefault="0088418E" w:rsidP="006574B2">
            <w:pPr>
              <w:pStyle w:val="TabelleText"/>
              <w:spacing w:before="240"/>
            </w:pPr>
            <w:r w:rsidRPr="004943E7">
              <w:t>Für alle Zahlungsvorgangsarten gem. der Tabelle im Anhang der RTS gilt:</w:t>
            </w:r>
          </w:p>
          <w:p w14:paraId="41D08D63" w14:textId="3E0A7D08" w:rsidR="0088418E" w:rsidRPr="004943E7" w:rsidRDefault="0088418E" w:rsidP="006574B2">
            <w:pPr>
              <w:pStyle w:val="TabelleText"/>
              <w:spacing w:before="240"/>
            </w:pPr>
            <w:r w:rsidRPr="004943E7">
              <w:t>Die Berechnung der Gesamtbetrugsraten muss für alle Zahlungsvorgänge (auch Ausnahmen; mit und ohne SKA) durchgeführt werden. Diese Betrugsraten dürfen die im Anhang angegebenen Referenzbetrugsraten nicht überschreiten.</w:t>
            </w:r>
          </w:p>
          <w:p w14:paraId="70831402" w14:textId="77777777" w:rsidR="0088418E" w:rsidRPr="004943E7" w:rsidRDefault="0088418E" w:rsidP="006574B2">
            <w:pPr>
              <w:pStyle w:val="TabelleText"/>
              <w:spacing w:before="240"/>
            </w:pPr>
          </w:p>
        </w:tc>
        <w:tc>
          <w:tcPr>
            <w:tcW w:w="1004" w:type="pct"/>
            <w:tcBorders>
              <w:top w:val="single" w:sz="2" w:space="0" w:color="272727"/>
              <w:left w:val="single" w:sz="48" w:space="0" w:color="FFFFFF" w:themeColor="background1"/>
              <w:bottom w:val="single" w:sz="8" w:space="0" w:color="272727"/>
              <w:right w:val="nil"/>
            </w:tcBorders>
          </w:tcPr>
          <w:p w14:paraId="5625F292" w14:textId="336B68DC" w:rsidR="0088418E" w:rsidRPr="004943E7" w:rsidRDefault="0088418E" w:rsidP="006574B2">
            <w:pPr>
              <w:pStyle w:val="TabelleText"/>
              <w:spacing w:before="240"/>
            </w:pPr>
            <w:r w:rsidRPr="004943E7">
              <w:t>Berechnung und Dokumentation der Gesamtbetrugsraten einholen und Beantwortung der folgenden Fragestellungen:</w:t>
            </w:r>
          </w:p>
          <w:p w14:paraId="561923AC" w14:textId="3AA2884E" w:rsidR="0088418E" w:rsidRPr="004943E7" w:rsidRDefault="0088418E" w:rsidP="006574B2">
            <w:pPr>
              <w:pStyle w:val="TabelleText"/>
              <w:spacing w:before="240"/>
            </w:pPr>
            <w:r w:rsidRPr="004943E7">
              <w:t>- Welche Überwachungshandlungen werden ergriffen?</w:t>
            </w:r>
          </w:p>
          <w:p w14:paraId="7CF89457" w14:textId="0853DDA6" w:rsidR="0088418E" w:rsidRPr="004943E7" w:rsidRDefault="0088418E" w:rsidP="006574B2">
            <w:pPr>
              <w:pStyle w:val="TabelleText"/>
              <w:spacing w:before="240"/>
            </w:pPr>
            <w:r w:rsidRPr="004943E7">
              <w:t xml:space="preserve">- Wie erfolgt die Berechnung der Betrugsraten? </w:t>
            </w:r>
          </w:p>
          <w:p w14:paraId="6380D7D6" w14:textId="146ADD75" w:rsidR="0088418E" w:rsidRPr="004943E7" w:rsidRDefault="0088418E" w:rsidP="006574B2">
            <w:pPr>
              <w:pStyle w:val="TabelleText"/>
              <w:spacing w:before="240"/>
            </w:pPr>
            <w:r w:rsidRPr="004943E7">
              <w:t>- Sind alle Zahlungsarten (Karten und/ oder Electronic-Banking) und alle Transaktionen (mit und ohne SKA) enthalten?</w:t>
            </w:r>
          </w:p>
          <w:p w14:paraId="4EBE6257" w14:textId="62BE952A" w:rsidR="0088418E" w:rsidRPr="004943E7" w:rsidRDefault="0088418E" w:rsidP="006574B2">
            <w:pPr>
              <w:pStyle w:val="TabelleText"/>
              <w:spacing w:before="240"/>
            </w:pPr>
            <w:r w:rsidRPr="004943E7">
              <w:t>- Sind die jeweiligen Transaktionswerte und Betrugswerte plausibel und vollständig?</w:t>
            </w:r>
          </w:p>
          <w:p w14:paraId="4DD80FE2" w14:textId="446D46EC" w:rsidR="0088418E" w:rsidRPr="004943E7" w:rsidRDefault="0088418E" w:rsidP="006574B2">
            <w:pPr>
              <w:pStyle w:val="TabelleText"/>
              <w:spacing w:before="240"/>
            </w:pPr>
            <w:r w:rsidRPr="004943E7">
              <w:t>- Gibt es Kontrollen, um Berechnungs- bzw. Rechenfehler (Excel) zu vermeiden?)</w:t>
            </w:r>
          </w:p>
          <w:p w14:paraId="3E6EA130" w14:textId="2F469D55" w:rsidR="0088418E" w:rsidRPr="004943E7" w:rsidRDefault="0088418E" w:rsidP="006574B2">
            <w:pPr>
              <w:pStyle w:val="TabelleText"/>
              <w:spacing w:before="240"/>
            </w:pPr>
            <w:r w:rsidRPr="004943E7">
              <w:t>- Wie erfolgt das Monitoring der Betrugsraten?</w:t>
            </w:r>
          </w:p>
          <w:p w14:paraId="39D7F331" w14:textId="430E984D" w:rsidR="0088418E" w:rsidRPr="004943E7" w:rsidRDefault="0088418E" w:rsidP="006574B2">
            <w:pPr>
              <w:pStyle w:val="TabelleText"/>
              <w:spacing w:before="240"/>
            </w:pPr>
            <w:r w:rsidRPr="004943E7">
              <w:t>- Welcher Fachbereich ist für die Überwachung der Betrugsraten zuständig?</w:t>
            </w:r>
          </w:p>
          <w:p w14:paraId="16E9BAED" w14:textId="21F59452" w:rsidR="0088418E" w:rsidRPr="004943E7" w:rsidRDefault="0088418E" w:rsidP="006574B2">
            <w:pPr>
              <w:pStyle w:val="TabelleText"/>
              <w:spacing w:before="240"/>
            </w:pPr>
            <w:r w:rsidRPr="004943E7">
              <w:lastRenderedPageBreak/>
              <w:t xml:space="preserve">- Welche Maßnahmen werden ergriffen, wenn die Betrugsraten gerissen werden? </w:t>
            </w:r>
          </w:p>
          <w:p w14:paraId="75F65A73" w14:textId="6547D92A" w:rsidR="0088418E" w:rsidRPr="004943E7" w:rsidRDefault="0088418E" w:rsidP="006574B2">
            <w:pPr>
              <w:pStyle w:val="TabelleText"/>
              <w:spacing w:before="240"/>
            </w:pPr>
            <w:r w:rsidRPr="004943E7">
              <w:t>- Werden quartalsweise die Betrugsraten berechnet, dokumentiert und sind diese angemessen geclustert (getrennt nach Karte mit Internetbezahlfunktion- und Überweisung)?</w:t>
            </w:r>
          </w:p>
          <w:p w14:paraId="6FA37D25" w14:textId="2E1DA3D4" w:rsidR="0088418E" w:rsidRPr="004943E7" w:rsidRDefault="0088418E" w:rsidP="006574B2">
            <w:pPr>
              <w:pStyle w:val="TabelleText"/>
              <w:spacing w:before="240"/>
            </w:pPr>
            <w:r w:rsidRPr="004943E7">
              <w:t>- Werden diese an die relevanten Stakeholder kommuniziert (bspw. Kartenverantwortliche, Vertrieb, Management)?</w:t>
            </w:r>
          </w:p>
        </w:tc>
        <w:tc>
          <w:tcPr>
            <w:tcW w:w="985" w:type="pct"/>
            <w:tcBorders>
              <w:top w:val="single" w:sz="2" w:space="0" w:color="272727"/>
              <w:left w:val="single" w:sz="48" w:space="0" w:color="FFFFFF" w:themeColor="background1"/>
              <w:bottom w:val="single" w:sz="8" w:space="0" w:color="272727"/>
              <w:right w:val="nil"/>
            </w:tcBorders>
          </w:tcPr>
          <w:p w14:paraId="6E04EE59" w14:textId="77777777" w:rsidR="0088418E" w:rsidRPr="004943E7" w:rsidRDefault="0088418E" w:rsidP="006574B2">
            <w:pPr>
              <w:pStyle w:val="TabelleText"/>
              <w:spacing w:before="240"/>
            </w:pPr>
          </w:p>
        </w:tc>
      </w:tr>
      <w:tr w:rsidR="00BC00BF" w:rsidRPr="00201374" w14:paraId="3B653F94" w14:textId="77777777" w:rsidTr="00BC00BF">
        <w:trPr>
          <w:trHeight w:val="63"/>
        </w:trPr>
        <w:tc>
          <w:tcPr>
            <w:tcW w:w="106" w:type="pct"/>
            <w:tcBorders>
              <w:top w:val="single" w:sz="2" w:space="0" w:color="272727"/>
              <w:left w:val="nil"/>
              <w:bottom w:val="single" w:sz="8" w:space="0" w:color="272727"/>
              <w:right w:val="single" w:sz="48" w:space="0" w:color="FFFFFF" w:themeColor="background1"/>
            </w:tcBorders>
          </w:tcPr>
          <w:p w14:paraId="4F114196" w14:textId="377F02CD" w:rsidR="0088418E" w:rsidRPr="004943E7" w:rsidRDefault="006574B2" w:rsidP="006574B2">
            <w:pPr>
              <w:pStyle w:val="TabelleText"/>
              <w:spacing w:before="240"/>
            </w:pPr>
            <w:r>
              <w:t>(2)</w:t>
            </w:r>
          </w:p>
        </w:tc>
        <w:tc>
          <w:tcPr>
            <w:tcW w:w="1532" w:type="pct"/>
            <w:tcBorders>
              <w:top w:val="single" w:sz="2" w:space="0" w:color="272727"/>
              <w:left w:val="nil"/>
              <w:bottom w:val="single" w:sz="8" w:space="0" w:color="272727"/>
              <w:right w:val="single" w:sz="48" w:space="0" w:color="FFFFFF" w:themeColor="background1"/>
            </w:tcBorders>
          </w:tcPr>
          <w:p w14:paraId="334CCEB2" w14:textId="77777777" w:rsidR="0088418E" w:rsidRPr="004943E7" w:rsidRDefault="0088418E" w:rsidP="006574B2">
            <w:pPr>
              <w:pStyle w:val="TabelleText"/>
              <w:spacing w:before="240"/>
            </w:pPr>
            <w:r w:rsidRPr="004943E7">
              <w:t>Die Berechnung der Betrugsraten und die daraus resultierenden Werte werden im Rahmen der nach Art. 3 Abs. 2 durchzuführenden Prüfung bewertet, um sicherzustellen, dass diese vollständig und richtig sind.</w:t>
            </w:r>
          </w:p>
          <w:p w14:paraId="4F92DD71" w14:textId="77777777" w:rsidR="0088418E" w:rsidRPr="004943E7" w:rsidRDefault="0088418E" w:rsidP="006574B2">
            <w:pPr>
              <w:pStyle w:val="TabelleText"/>
              <w:spacing w:before="240"/>
            </w:pPr>
          </w:p>
        </w:tc>
        <w:tc>
          <w:tcPr>
            <w:tcW w:w="1373" w:type="pct"/>
            <w:tcBorders>
              <w:top w:val="single" w:sz="2" w:space="0" w:color="272727"/>
              <w:left w:val="nil"/>
              <w:bottom w:val="single" w:sz="8" w:space="0" w:color="272727"/>
              <w:right w:val="single" w:sz="48" w:space="0" w:color="FFFFFF" w:themeColor="background1"/>
            </w:tcBorders>
          </w:tcPr>
          <w:p w14:paraId="50460FDE" w14:textId="044AAC76" w:rsidR="0088418E" w:rsidRPr="004943E7" w:rsidRDefault="0088418E" w:rsidP="006574B2">
            <w:pPr>
              <w:pStyle w:val="TabelleText"/>
              <w:spacing w:before="240"/>
            </w:pPr>
            <w:r w:rsidRPr="004943E7">
              <w:t>Bei Nutzung der Ausnahme nach Art. 18 Abs. 1: Jährliche Prüfungspflicht (lt. Art. 3, Abs. 2) durch interne Prüfer und alle drei Jahre durch externe Prüfer (z. B. Wirtschaftsprüfer).</w:t>
            </w:r>
          </w:p>
        </w:tc>
        <w:tc>
          <w:tcPr>
            <w:tcW w:w="1004" w:type="pct"/>
            <w:tcBorders>
              <w:top w:val="single" w:sz="2" w:space="0" w:color="272727"/>
              <w:left w:val="single" w:sz="48" w:space="0" w:color="FFFFFF" w:themeColor="background1"/>
              <w:bottom w:val="single" w:sz="8" w:space="0" w:color="272727"/>
              <w:right w:val="nil"/>
            </w:tcBorders>
          </w:tcPr>
          <w:p w14:paraId="7C41455B" w14:textId="6BF6EF8A" w:rsidR="0088418E" w:rsidRPr="004943E7" w:rsidRDefault="0088418E" w:rsidP="006574B2">
            <w:pPr>
              <w:pStyle w:val="TabelleText"/>
              <w:spacing w:before="240"/>
            </w:pPr>
            <w:r w:rsidRPr="004943E7">
              <w:t xml:space="preserve">Wurden bereits interne/externe Prüfungen hierzu vorgenommen (z. B. Jahresabschlussbericht vom Wirtschaftsprüfer oder Revisionsberichte der </w:t>
            </w:r>
            <w:r w:rsidR="00EB6014">
              <w:t>Internen Revision</w:t>
            </w:r>
            <w:r w:rsidRPr="004943E7">
              <w:t xml:space="preserve"> der Service Provider)?</w:t>
            </w:r>
          </w:p>
          <w:p w14:paraId="2ADB8CFE" w14:textId="4222C9A4" w:rsidR="0088418E" w:rsidRPr="004943E7" w:rsidRDefault="0088418E" w:rsidP="006574B2">
            <w:pPr>
              <w:pStyle w:val="TabelleText"/>
              <w:spacing w:before="240"/>
            </w:pPr>
            <w:r w:rsidRPr="004943E7">
              <w:t>Wenn ja, Einholung der vorliegenden Berichte.</w:t>
            </w:r>
          </w:p>
        </w:tc>
        <w:tc>
          <w:tcPr>
            <w:tcW w:w="985" w:type="pct"/>
            <w:tcBorders>
              <w:top w:val="single" w:sz="2" w:space="0" w:color="272727"/>
              <w:left w:val="single" w:sz="48" w:space="0" w:color="FFFFFF" w:themeColor="background1"/>
              <w:bottom w:val="single" w:sz="8" w:space="0" w:color="272727"/>
              <w:right w:val="nil"/>
            </w:tcBorders>
          </w:tcPr>
          <w:p w14:paraId="43BCC1D7" w14:textId="77777777" w:rsidR="0088418E" w:rsidRPr="004943E7" w:rsidRDefault="0088418E" w:rsidP="006574B2">
            <w:pPr>
              <w:pStyle w:val="TabelleText"/>
              <w:spacing w:before="240"/>
            </w:pPr>
          </w:p>
        </w:tc>
      </w:tr>
      <w:tr w:rsidR="00BC00BF" w:rsidRPr="00201374" w14:paraId="643DACB0" w14:textId="77777777" w:rsidTr="00BC00BF">
        <w:trPr>
          <w:trHeight w:val="63"/>
        </w:trPr>
        <w:tc>
          <w:tcPr>
            <w:tcW w:w="106" w:type="pct"/>
            <w:tcBorders>
              <w:top w:val="single" w:sz="2" w:space="0" w:color="272727"/>
              <w:left w:val="nil"/>
              <w:bottom w:val="single" w:sz="8" w:space="0" w:color="272727"/>
              <w:right w:val="single" w:sz="48" w:space="0" w:color="FFFFFF" w:themeColor="background1"/>
            </w:tcBorders>
          </w:tcPr>
          <w:p w14:paraId="067FD517" w14:textId="783C9781" w:rsidR="0088418E" w:rsidRPr="004943E7" w:rsidRDefault="006574B2" w:rsidP="00254198">
            <w:pPr>
              <w:pStyle w:val="TabelleText"/>
              <w:spacing w:before="240"/>
            </w:pPr>
            <w:r>
              <w:t>(3</w:t>
            </w:r>
            <w:r w:rsidR="00254198">
              <w:t>)</w:t>
            </w:r>
          </w:p>
        </w:tc>
        <w:tc>
          <w:tcPr>
            <w:tcW w:w="1532" w:type="pct"/>
            <w:tcBorders>
              <w:top w:val="single" w:sz="2" w:space="0" w:color="272727"/>
              <w:left w:val="nil"/>
              <w:bottom w:val="single" w:sz="8" w:space="0" w:color="272727"/>
              <w:right w:val="single" w:sz="48" w:space="0" w:color="FFFFFF" w:themeColor="background1"/>
            </w:tcBorders>
          </w:tcPr>
          <w:p w14:paraId="54FD19AC" w14:textId="77777777" w:rsidR="0088418E" w:rsidRPr="004943E7" w:rsidRDefault="0088418E" w:rsidP="00254198">
            <w:pPr>
              <w:pStyle w:val="TabelleText"/>
              <w:spacing w:before="240"/>
            </w:pPr>
            <w:r w:rsidRPr="004943E7">
              <w:t xml:space="preserve">Die Methodik und jedes Modell, die vom Zahlungsdienstleister für die Berechnung der Betrugsraten verwendet werden, sowie die Betrugsraten selbst </w:t>
            </w:r>
            <w:r w:rsidRPr="004943E7">
              <w:lastRenderedPageBreak/>
              <w:t>werden in angemessener Weise dokumentiert und den zuständigen Behörden und der EBA in vollem Umfang zugänglich gemacht; sie werden der (den) zuständige(n) Behörde(n) auf deren Verlangen vorab angezeigt.</w:t>
            </w:r>
          </w:p>
          <w:p w14:paraId="075898CB" w14:textId="77777777" w:rsidR="0088418E" w:rsidRPr="004943E7" w:rsidRDefault="0088418E" w:rsidP="00254198">
            <w:pPr>
              <w:pStyle w:val="TabelleText"/>
              <w:spacing w:before="240"/>
            </w:pPr>
          </w:p>
        </w:tc>
        <w:tc>
          <w:tcPr>
            <w:tcW w:w="1373" w:type="pct"/>
            <w:tcBorders>
              <w:top w:val="single" w:sz="2" w:space="0" w:color="272727"/>
              <w:left w:val="nil"/>
              <w:bottom w:val="single" w:sz="8" w:space="0" w:color="272727"/>
              <w:right w:val="single" w:sz="48" w:space="0" w:color="FFFFFF" w:themeColor="background1"/>
            </w:tcBorders>
          </w:tcPr>
          <w:p w14:paraId="744DBD72" w14:textId="77777777" w:rsidR="0088418E" w:rsidRPr="004943E7" w:rsidRDefault="0088418E" w:rsidP="00254198">
            <w:pPr>
              <w:pStyle w:val="TabelleText"/>
              <w:spacing w:before="240"/>
            </w:pPr>
            <w:r w:rsidRPr="004943E7">
              <w:lastRenderedPageBreak/>
              <w:t xml:space="preserve">Die Methodik und das (Berechnungs-) Modell muss dokumentiert sein. Erst auf Verlangen </w:t>
            </w:r>
            <w:r w:rsidRPr="004943E7">
              <w:lastRenderedPageBreak/>
              <w:t xml:space="preserve">der BaFin müssen die Betrugsratenberechnungen vorgelegt werden können. </w:t>
            </w:r>
          </w:p>
          <w:p w14:paraId="6CEA4D41" w14:textId="77777777" w:rsidR="0088418E" w:rsidRPr="004943E7" w:rsidRDefault="0088418E" w:rsidP="00254198">
            <w:pPr>
              <w:pStyle w:val="TabelleText"/>
              <w:spacing w:before="240"/>
            </w:pPr>
          </w:p>
        </w:tc>
        <w:tc>
          <w:tcPr>
            <w:tcW w:w="1004" w:type="pct"/>
            <w:tcBorders>
              <w:top w:val="single" w:sz="2" w:space="0" w:color="272727"/>
              <w:left w:val="single" w:sz="48" w:space="0" w:color="FFFFFF" w:themeColor="background1"/>
              <w:bottom w:val="single" w:sz="8" w:space="0" w:color="272727"/>
              <w:right w:val="nil"/>
            </w:tcBorders>
          </w:tcPr>
          <w:p w14:paraId="246F28F9" w14:textId="77777777" w:rsidR="0088418E" w:rsidRPr="004943E7" w:rsidRDefault="0088418E" w:rsidP="00254198">
            <w:pPr>
              <w:pStyle w:val="TabelleText"/>
              <w:spacing w:before="240"/>
            </w:pPr>
            <w:r w:rsidRPr="004943E7">
              <w:lastRenderedPageBreak/>
              <w:t xml:space="preserve">Dokumentation zur Methodik und verwendeten Modelle zur Berechnung der Betrugsraten einholen </w:t>
            </w:r>
            <w:r w:rsidRPr="004943E7">
              <w:lastRenderedPageBreak/>
              <w:t>(unter Berücksichtigung der unter Absatz 1 genannten Voraussetzungen).</w:t>
            </w:r>
          </w:p>
          <w:p w14:paraId="73A2A894" w14:textId="77777777" w:rsidR="0088418E" w:rsidRPr="004943E7" w:rsidRDefault="0088418E" w:rsidP="00254198">
            <w:pPr>
              <w:pStyle w:val="TabelleText"/>
              <w:spacing w:before="240"/>
            </w:pPr>
          </w:p>
        </w:tc>
        <w:tc>
          <w:tcPr>
            <w:tcW w:w="985" w:type="pct"/>
            <w:tcBorders>
              <w:top w:val="single" w:sz="2" w:space="0" w:color="272727"/>
              <w:left w:val="single" w:sz="48" w:space="0" w:color="FFFFFF" w:themeColor="background1"/>
              <w:bottom w:val="single" w:sz="8" w:space="0" w:color="272727"/>
              <w:right w:val="nil"/>
            </w:tcBorders>
          </w:tcPr>
          <w:p w14:paraId="422A1A3F" w14:textId="4B9E794F" w:rsidR="0088418E" w:rsidRPr="004943E7" w:rsidRDefault="0088418E" w:rsidP="00254198">
            <w:pPr>
              <w:pStyle w:val="TabelleText"/>
              <w:spacing w:before="240"/>
            </w:pPr>
            <w:r w:rsidRPr="004943E7">
              <w:lastRenderedPageBreak/>
              <w:t xml:space="preserve">Die Methodik und jedes Modell, die vom Zahlungsdienstleister für die Berechnung der Betrugsraten </w:t>
            </w:r>
            <w:r w:rsidRPr="004943E7">
              <w:lastRenderedPageBreak/>
              <w:t>verwendet werden, sowie die Betrugsraten selbst werden in angemessener Weise dokumentiert und den zuständigen Behörden und der EBA in vollem Umfang zugänglich gemacht; sie werden der (den) zuständige(n) Behörde(n) auf deren Verlangen vorab angezeigt.</w:t>
            </w:r>
          </w:p>
        </w:tc>
      </w:tr>
      <w:tr w:rsidR="00254198" w:rsidRPr="00201374" w14:paraId="4E597326" w14:textId="77777777" w:rsidTr="00254198">
        <w:trPr>
          <w:trHeight w:val="63"/>
        </w:trPr>
        <w:tc>
          <w:tcPr>
            <w:tcW w:w="5000" w:type="pct"/>
            <w:gridSpan w:val="5"/>
            <w:tcBorders>
              <w:top w:val="single" w:sz="2" w:space="0" w:color="272727"/>
              <w:left w:val="nil"/>
              <w:bottom w:val="single" w:sz="8" w:space="0" w:color="272727"/>
              <w:right w:val="single" w:sz="48" w:space="0" w:color="FFFFFF" w:themeColor="background1"/>
            </w:tcBorders>
          </w:tcPr>
          <w:p w14:paraId="55202C89" w14:textId="711E7825" w:rsidR="00254198" w:rsidRPr="00254198" w:rsidRDefault="00254198" w:rsidP="004943E7">
            <w:pPr>
              <w:pStyle w:val="TabelleText"/>
              <w:rPr>
                <w:b/>
                <w:bCs/>
              </w:rPr>
            </w:pPr>
            <w:r w:rsidRPr="00254198">
              <w:rPr>
                <w:b/>
                <w:bCs/>
              </w:rPr>
              <w:lastRenderedPageBreak/>
              <w:t>Artikel 20 - Aufhebung von Ausnahmen aufgrund der Transaktionsrisikoanalyse</w:t>
            </w:r>
          </w:p>
        </w:tc>
      </w:tr>
      <w:tr w:rsidR="00BC00BF" w:rsidRPr="00201374" w14:paraId="07903F81" w14:textId="77777777" w:rsidTr="00BC00BF">
        <w:trPr>
          <w:trHeight w:val="63"/>
        </w:trPr>
        <w:tc>
          <w:tcPr>
            <w:tcW w:w="106" w:type="pct"/>
            <w:tcBorders>
              <w:top w:val="single" w:sz="2" w:space="0" w:color="272727"/>
              <w:left w:val="nil"/>
              <w:bottom w:val="single" w:sz="8" w:space="0" w:color="272727"/>
              <w:right w:val="single" w:sz="48" w:space="0" w:color="FFFFFF" w:themeColor="background1"/>
            </w:tcBorders>
          </w:tcPr>
          <w:p w14:paraId="7C439DC2" w14:textId="10BC93A6" w:rsidR="0088418E" w:rsidRPr="004943E7" w:rsidRDefault="00254198" w:rsidP="00254198">
            <w:pPr>
              <w:pStyle w:val="TabelleText"/>
              <w:spacing w:before="240"/>
            </w:pPr>
            <w:r>
              <w:t>(1)</w:t>
            </w:r>
          </w:p>
        </w:tc>
        <w:tc>
          <w:tcPr>
            <w:tcW w:w="1532" w:type="pct"/>
            <w:tcBorders>
              <w:top w:val="single" w:sz="2" w:space="0" w:color="272727"/>
              <w:left w:val="nil"/>
              <w:bottom w:val="single" w:sz="8" w:space="0" w:color="272727"/>
              <w:right w:val="single" w:sz="48" w:space="0" w:color="FFFFFF" w:themeColor="background1"/>
            </w:tcBorders>
          </w:tcPr>
          <w:p w14:paraId="1506BDB7" w14:textId="01F0AB24" w:rsidR="0088418E" w:rsidRPr="004943E7" w:rsidRDefault="0088418E" w:rsidP="00254198">
            <w:pPr>
              <w:pStyle w:val="TabelleText"/>
              <w:spacing w:before="240"/>
            </w:pPr>
            <w:r w:rsidRPr="004943E7">
              <w:t xml:space="preserve">Zahlungsdienstleister, die die in Art. 18 genannte Ausnahme nutzen, zeigen den zuständigen Behörden unverzüglich an, wenn eine der überwachten Betrugsraten für eine der in der Tabelle im Anhang angegebenen Zahlungsvorgangsarten die geltende Referenzbetrugsrate überschreitet; außerdem legen die Zahlungsdienstleister den zuständigen Behörden eine Beschreibung der von ihnen vorgesehenen Maßnahmen vor, um sicherzustellen, dass die von ihnen überwachten Betrugsraten wieder die geltenden Referenzbetrugsraten einhalten. </w:t>
            </w:r>
          </w:p>
        </w:tc>
        <w:tc>
          <w:tcPr>
            <w:tcW w:w="1373" w:type="pct"/>
            <w:tcBorders>
              <w:top w:val="single" w:sz="2" w:space="0" w:color="272727"/>
              <w:left w:val="nil"/>
              <w:bottom w:val="single" w:sz="8" w:space="0" w:color="272727"/>
              <w:right w:val="single" w:sz="48" w:space="0" w:color="FFFFFF" w:themeColor="background1"/>
            </w:tcBorders>
          </w:tcPr>
          <w:p w14:paraId="3EA8DA57" w14:textId="284A37E9" w:rsidR="0088418E" w:rsidRPr="004943E7" w:rsidRDefault="0088418E" w:rsidP="00254198">
            <w:pPr>
              <w:pStyle w:val="TabelleText"/>
              <w:spacing w:before="240"/>
            </w:pPr>
            <w:r w:rsidRPr="004943E7">
              <w:t xml:space="preserve">Anzeigepflicht bei Überschreitung der Referenzbetrugsrate gemäß Art. 18. </w:t>
            </w:r>
          </w:p>
        </w:tc>
        <w:tc>
          <w:tcPr>
            <w:tcW w:w="1004" w:type="pct"/>
            <w:tcBorders>
              <w:top w:val="single" w:sz="2" w:space="0" w:color="272727"/>
              <w:left w:val="single" w:sz="48" w:space="0" w:color="FFFFFF" w:themeColor="background1"/>
              <w:bottom w:val="single" w:sz="8" w:space="0" w:color="272727"/>
              <w:right w:val="nil"/>
            </w:tcBorders>
          </w:tcPr>
          <w:p w14:paraId="44F8354C" w14:textId="44547263" w:rsidR="0088418E" w:rsidRPr="004943E7" w:rsidRDefault="0088418E" w:rsidP="00254198">
            <w:pPr>
              <w:pStyle w:val="TabelleText"/>
              <w:spacing w:before="240"/>
            </w:pPr>
            <w:r w:rsidRPr="004943E7">
              <w:t>Ist bei Überschreiten der Betrugsrate eine Meldung (inkl. mitigierender Maßnahmen) an die BaFin erfolgt?</w:t>
            </w:r>
          </w:p>
          <w:p w14:paraId="6ECD12AB" w14:textId="77777777" w:rsidR="0088418E" w:rsidRPr="004943E7" w:rsidRDefault="0088418E" w:rsidP="00254198">
            <w:pPr>
              <w:pStyle w:val="TabelleText"/>
              <w:spacing w:before="240"/>
            </w:pPr>
          </w:p>
        </w:tc>
        <w:tc>
          <w:tcPr>
            <w:tcW w:w="985" w:type="pct"/>
            <w:tcBorders>
              <w:top w:val="single" w:sz="2" w:space="0" w:color="272727"/>
              <w:left w:val="single" w:sz="48" w:space="0" w:color="FFFFFF" w:themeColor="background1"/>
              <w:bottom w:val="single" w:sz="8" w:space="0" w:color="272727"/>
              <w:right w:val="nil"/>
            </w:tcBorders>
          </w:tcPr>
          <w:p w14:paraId="4C522CDF" w14:textId="77777777" w:rsidR="0088418E" w:rsidRPr="004943E7" w:rsidRDefault="0088418E" w:rsidP="00254198">
            <w:pPr>
              <w:pStyle w:val="TabelleText"/>
              <w:spacing w:before="240"/>
            </w:pPr>
          </w:p>
        </w:tc>
      </w:tr>
      <w:tr w:rsidR="00BC00BF" w:rsidRPr="00201374" w14:paraId="5E7EB290" w14:textId="77777777" w:rsidTr="00BC00BF">
        <w:trPr>
          <w:trHeight w:val="63"/>
        </w:trPr>
        <w:tc>
          <w:tcPr>
            <w:tcW w:w="106" w:type="pct"/>
            <w:tcBorders>
              <w:top w:val="single" w:sz="2" w:space="0" w:color="272727"/>
              <w:left w:val="nil"/>
              <w:bottom w:val="single" w:sz="8" w:space="0" w:color="272727"/>
              <w:right w:val="single" w:sz="48" w:space="0" w:color="FFFFFF" w:themeColor="background1"/>
            </w:tcBorders>
          </w:tcPr>
          <w:p w14:paraId="53B69B03" w14:textId="01692F9E" w:rsidR="0088418E" w:rsidRPr="004943E7" w:rsidRDefault="00254198" w:rsidP="00254198">
            <w:pPr>
              <w:pStyle w:val="TabelleText"/>
              <w:spacing w:before="240"/>
            </w:pPr>
            <w:r>
              <w:t>(2)</w:t>
            </w:r>
          </w:p>
        </w:tc>
        <w:tc>
          <w:tcPr>
            <w:tcW w:w="1532" w:type="pct"/>
            <w:tcBorders>
              <w:top w:val="single" w:sz="2" w:space="0" w:color="272727"/>
              <w:left w:val="nil"/>
              <w:bottom w:val="single" w:sz="8" w:space="0" w:color="272727"/>
              <w:right w:val="single" w:sz="48" w:space="0" w:color="FFFFFF" w:themeColor="background1"/>
            </w:tcBorders>
          </w:tcPr>
          <w:p w14:paraId="77790E90" w14:textId="18BDF84A" w:rsidR="0088418E" w:rsidRPr="004943E7" w:rsidRDefault="0088418E" w:rsidP="00254198">
            <w:pPr>
              <w:pStyle w:val="TabelleText"/>
              <w:spacing w:before="240"/>
            </w:pPr>
            <w:r w:rsidRPr="004943E7">
              <w:t xml:space="preserve">Die Zahlungsdienstleister stellen die Nutzung der Ausnahme nach Art. 18 für jede in der Tabelle im Anhang für den betreffenden Ausnahmeschwellenwert angegebene Zahlungsvorgangsart unverzüglich ein, wenn die von ihnen überwachte Betrugsrate die für das Zahlungsinstrument oder die </w:t>
            </w:r>
            <w:r w:rsidRPr="004943E7">
              <w:lastRenderedPageBreak/>
              <w:t>Zahlungsvorgangsart im entsprechenden Ausnahmeschwellenwertebereich geltende Referenzbetrugsrate in zwei aufeinanderfolgenden Quartalen überschreitet.</w:t>
            </w:r>
          </w:p>
        </w:tc>
        <w:tc>
          <w:tcPr>
            <w:tcW w:w="1373" w:type="pct"/>
            <w:tcBorders>
              <w:top w:val="single" w:sz="2" w:space="0" w:color="272727"/>
              <w:left w:val="nil"/>
              <w:bottom w:val="single" w:sz="8" w:space="0" w:color="272727"/>
              <w:right w:val="single" w:sz="48" w:space="0" w:color="FFFFFF" w:themeColor="background1"/>
            </w:tcBorders>
          </w:tcPr>
          <w:p w14:paraId="7A309023" w14:textId="089466D8" w:rsidR="0088418E" w:rsidRPr="004943E7" w:rsidRDefault="0088418E" w:rsidP="00254198">
            <w:pPr>
              <w:pStyle w:val="TabelleText"/>
              <w:spacing w:before="240"/>
            </w:pPr>
            <w:r w:rsidRPr="004943E7">
              <w:lastRenderedPageBreak/>
              <w:t>Pflicht zur Einstellung der Ausnahmeregelung gemäß Art. 18.</w:t>
            </w:r>
          </w:p>
        </w:tc>
        <w:tc>
          <w:tcPr>
            <w:tcW w:w="1004" w:type="pct"/>
            <w:tcBorders>
              <w:top w:val="single" w:sz="2" w:space="0" w:color="272727"/>
              <w:left w:val="single" w:sz="48" w:space="0" w:color="FFFFFF" w:themeColor="background1"/>
              <w:bottom w:val="single" w:sz="8" w:space="0" w:color="272727"/>
              <w:right w:val="nil"/>
            </w:tcBorders>
          </w:tcPr>
          <w:p w14:paraId="34168939" w14:textId="35765C41" w:rsidR="0088418E" w:rsidRPr="004943E7" w:rsidRDefault="0088418E" w:rsidP="00254198">
            <w:pPr>
              <w:pStyle w:val="TabelleText"/>
              <w:spacing w:before="240"/>
            </w:pPr>
            <w:r w:rsidRPr="004943E7">
              <w:t>Wurde in den Systemen der Schwellenwert den geänderten Betrugsratenreferenzen angepasst bzw. der Schwellenwert auf 0 EUR gesetzt?</w:t>
            </w:r>
          </w:p>
        </w:tc>
        <w:tc>
          <w:tcPr>
            <w:tcW w:w="985" w:type="pct"/>
            <w:tcBorders>
              <w:top w:val="single" w:sz="2" w:space="0" w:color="272727"/>
              <w:left w:val="single" w:sz="48" w:space="0" w:color="FFFFFF" w:themeColor="background1"/>
              <w:bottom w:val="single" w:sz="8" w:space="0" w:color="272727"/>
              <w:right w:val="nil"/>
            </w:tcBorders>
          </w:tcPr>
          <w:p w14:paraId="5F9B28F2" w14:textId="77777777" w:rsidR="0088418E" w:rsidRPr="004943E7" w:rsidRDefault="0088418E" w:rsidP="00254198">
            <w:pPr>
              <w:pStyle w:val="TabelleText"/>
              <w:spacing w:before="240"/>
            </w:pPr>
          </w:p>
        </w:tc>
      </w:tr>
      <w:tr w:rsidR="00BC00BF" w:rsidRPr="00201374" w14:paraId="6E80FFE4" w14:textId="77777777" w:rsidTr="00BC00BF">
        <w:trPr>
          <w:trHeight w:val="63"/>
        </w:trPr>
        <w:tc>
          <w:tcPr>
            <w:tcW w:w="106" w:type="pct"/>
            <w:tcBorders>
              <w:top w:val="single" w:sz="2" w:space="0" w:color="272727"/>
              <w:left w:val="nil"/>
              <w:bottom w:val="single" w:sz="8" w:space="0" w:color="272727"/>
              <w:right w:val="single" w:sz="48" w:space="0" w:color="FFFFFF" w:themeColor="background1"/>
            </w:tcBorders>
          </w:tcPr>
          <w:p w14:paraId="1B9F82A8" w14:textId="21C73EA8" w:rsidR="0088418E" w:rsidRPr="004943E7" w:rsidRDefault="00254198" w:rsidP="00254198">
            <w:pPr>
              <w:pStyle w:val="TabelleText"/>
              <w:spacing w:before="240"/>
            </w:pPr>
            <w:r>
              <w:t>(3)</w:t>
            </w:r>
          </w:p>
        </w:tc>
        <w:tc>
          <w:tcPr>
            <w:tcW w:w="1532" w:type="pct"/>
            <w:tcBorders>
              <w:top w:val="single" w:sz="2" w:space="0" w:color="272727"/>
              <w:left w:val="nil"/>
              <w:bottom w:val="single" w:sz="8" w:space="0" w:color="272727"/>
              <w:right w:val="single" w:sz="48" w:space="0" w:color="FFFFFF" w:themeColor="background1"/>
            </w:tcBorders>
          </w:tcPr>
          <w:p w14:paraId="60D1D5D4" w14:textId="3E4E96DB" w:rsidR="0088418E" w:rsidRPr="004943E7" w:rsidRDefault="0088418E" w:rsidP="00254198">
            <w:pPr>
              <w:pStyle w:val="TabelleText"/>
              <w:spacing w:before="240"/>
            </w:pPr>
            <w:r w:rsidRPr="004943E7">
              <w:t xml:space="preserve">Nach Einstellung der in Art. 18 genannten Ausnahme gemäß Abs. 2 des vorliegenden Artikels dürfen die Zahlungsdienstleister von dieser Ausnahme erst dann wieder Gebrauch machen, wenn die von ihnen berechnete Betrugsrate die für die jeweilige Zahlungsvorgangsart im entsprechenden Ausnahmeschwellenwertebereich geltende Referenzbetrugsrate in einem Quartal nicht mehr überschreitet. </w:t>
            </w:r>
          </w:p>
        </w:tc>
        <w:tc>
          <w:tcPr>
            <w:tcW w:w="1373" w:type="pct"/>
            <w:tcBorders>
              <w:top w:val="single" w:sz="2" w:space="0" w:color="272727"/>
              <w:left w:val="nil"/>
              <w:bottom w:val="single" w:sz="8" w:space="0" w:color="272727"/>
              <w:right w:val="single" w:sz="48" w:space="0" w:color="FFFFFF" w:themeColor="background1"/>
            </w:tcBorders>
          </w:tcPr>
          <w:p w14:paraId="6D05223F" w14:textId="4C477466" w:rsidR="0088418E" w:rsidRPr="004943E7" w:rsidRDefault="0088418E" w:rsidP="00254198">
            <w:pPr>
              <w:pStyle w:val="TabelleText"/>
              <w:spacing w:before="240"/>
            </w:pPr>
            <w:r w:rsidRPr="004943E7">
              <w:t>Voraussetzung zur Wiederaufnahme der Ausnahmeregelung gemäß Art. 18.</w:t>
            </w:r>
          </w:p>
        </w:tc>
        <w:tc>
          <w:tcPr>
            <w:tcW w:w="1004" w:type="pct"/>
            <w:tcBorders>
              <w:top w:val="single" w:sz="2" w:space="0" w:color="272727"/>
              <w:left w:val="single" w:sz="48" w:space="0" w:color="FFFFFF" w:themeColor="background1"/>
              <w:bottom w:val="single" w:sz="8" w:space="0" w:color="272727"/>
              <w:right w:val="nil"/>
            </w:tcBorders>
          </w:tcPr>
          <w:p w14:paraId="78FFAADE" w14:textId="3C3AFED2" w:rsidR="0088418E" w:rsidRPr="004943E7" w:rsidRDefault="0088418E" w:rsidP="00254198">
            <w:pPr>
              <w:pStyle w:val="TabelleText"/>
              <w:spacing w:before="240"/>
            </w:pPr>
            <w:r w:rsidRPr="004943E7">
              <w:t>Wurde der Prozess einer Wiedereinführung eines Schwellenwertes auf Basis der Vorgaben der Abs. (3) und (4) durchgeführt?</w:t>
            </w:r>
          </w:p>
        </w:tc>
        <w:tc>
          <w:tcPr>
            <w:tcW w:w="985" w:type="pct"/>
            <w:tcBorders>
              <w:top w:val="single" w:sz="2" w:space="0" w:color="272727"/>
              <w:left w:val="single" w:sz="48" w:space="0" w:color="FFFFFF" w:themeColor="background1"/>
              <w:bottom w:val="single" w:sz="8" w:space="0" w:color="272727"/>
              <w:right w:val="nil"/>
            </w:tcBorders>
          </w:tcPr>
          <w:p w14:paraId="034AFAB7" w14:textId="77777777" w:rsidR="0088418E" w:rsidRPr="004943E7" w:rsidRDefault="0088418E" w:rsidP="00254198">
            <w:pPr>
              <w:pStyle w:val="TabelleText"/>
              <w:spacing w:before="240"/>
            </w:pPr>
          </w:p>
        </w:tc>
      </w:tr>
      <w:tr w:rsidR="00BC00BF" w:rsidRPr="00201374" w14:paraId="79938E0B" w14:textId="77777777" w:rsidTr="00BC00BF">
        <w:trPr>
          <w:trHeight w:val="63"/>
        </w:trPr>
        <w:tc>
          <w:tcPr>
            <w:tcW w:w="106" w:type="pct"/>
            <w:tcBorders>
              <w:top w:val="single" w:sz="2" w:space="0" w:color="272727"/>
              <w:left w:val="nil"/>
              <w:bottom w:val="single" w:sz="8" w:space="0" w:color="272727"/>
              <w:right w:val="single" w:sz="48" w:space="0" w:color="FFFFFF" w:themeColor="background1"/>
            </w:tcBorders>
          </w:tcPr>
          <w:p w14:paraId="0A7346B8" w14:textId="2BB1A8CD" w:rsidR="0088418E" w:rsidRPr="004943E7" w:rsidRDefault="00254198" w:rsidP="00254198">
            <w:pPr>
              <w:pStyle w:val="TabelleText"/>
              <w:spacing w:before="240"/>
            </w:pPr>
            <w:r>
              <w:t>(4)</w:t>
            </w:r>
          </w:p>
        </w:tc>
        <w:tc>
          <w:tcPr>
            <w:tcW w:w="1532" w:type="pct"/>
            <w:tcBorders>
              <w:top w:val="single" w:sz="2" w:space="0" w:color="272727"/>
              <w:left w:val="nil"/>
              <w:bottom w:val="single" w:sz="8" w:space="0" w:color="272727"/>
              <w:right w:val="single" w:sz="48" w:space="0" w:color="FFFFFF" w:themeColor="background1"/>
            </w:tcBorders>
          </w:tcPr>
          <w:p w14:paraId="180EFBE0" w14:textId="19A0B8A6" w:rsidR="0088418E" w:rsidRPr="004943E7" w:rsidRDefault="0088418E" w:rsidP="00254198">
            <w:pPr>
              <w:pStyle w:val="TabelleText"/>
              <w:spacing w:before="240"/>
            </w:pPr>
            <w:r w:rsidRPr="004943E7">
              <w:t>Beabsichtigen die Zahlungsdienstleister die erneute Nutzung der in Art. 18 genannten Ausnahme, setzen sie die zuständigen Behörden innerhalb einer angemessenen Frist davon in Kenntnis und erbringen vor der erneuten Nutzung der Ausnahme einen Nachweis dafür, dass die von ihnen überwachte Betrugsrate die für den jeweiligen Ausnahmeschwellenwert geltende Referenzbetrugsrate nach Absatz 3 des vorliegenden Artikels wieder einhält.</w:t>
            </w:r>
          </w:p>
        </w:tc>
        <w:tc>
          <w:tcPr>
            <w:tcW w:w="1373" w:type="pct"/>
            <w:tcBorders>
              <w:top w:val="single" w:sz="2" w:space="0" w:color="272727"/>
              <w:left w:val="nil"/>
              <w:bottom w:val="single" w:sz="8" w:space="0" w:color="272727"/>
              <w:right w:val="single" w:sz="48" w:space="0" w:color="FFFFFF" w:themeColor="background1"/>
            </w:tcBorders>
          </w:tcPr>
          <w:p w14:paraId="11E1738E" w14:textId="4726CE0E" w:rsidR="0088418E" w:rsidRPr="004943E7" w:rsidRDefault="0088418E" w:rsidP="00254198">
            <w:pPr>
              <w:pStyle w:val="TabelleText"/>
              <w:spacing w:before="240"/>
            </w:pPr>
            <w:r w:rsidRPr="004943E7">
              <w:t>Anzeigepflicht bei Wiederaufnahme der Ausnahmeregelung gemäß Art. 18.</w:t>
            </w:r>
          </w:p>
        </w:tc>
        <w:tc>
          <w:tcPr>
            <w:tcW w:w="1004" w:type="pct"/>
            <w:tcBorders>
              <w:top w:val="single" w:sz="2" w:space="0" w:color="272727"/>
              <w:left w:val="single" w:sz="48" w:space="0" w:color="FFFFFF" w:themeColor="background1"/>
              <w:bottom w:val="single" w:sz="8" w:space="0" w:color="272727"/>
              <w:right w:val="nil"/>
            </w:tcBorders>
          </w:tcPr>
          <w:p w14:paraId="111AC463" w14:textId="5DDE54D8" w:rsidR="0088418E" w:rsidRPr="004943E7" w:rsidRDefault="0088418E" w:rsidP="00254198">
            <w:pPr>
              <w:pStyle w:val="TabelleText"/>
              <w:spacing w:before="240"/>
            </w:pPr>
            <w:r w:rsidRPr="004943E7">
              <w:t>Gibt es einen definierten Prozess, der bei beabsichtigter erneuter Nutzung der Ausnahme nach Art. 18 eine Information der zuständigen Behörden „innerhalb einer angemessenen Frist“ auslöst (Verantwortlichkeiten, Fristen, Freigaben)?</w:t>
            </w:r>
          </w:p>
        </w:tc>
        <w:tc>
          <w:tcPr>
            <w:tcW w:w="985" w:type="pct"/>
            <w:tcBorders>
              <w:top w:val="single" w:sz="2" w:space="0" w:color="272727"/>
              <w:left w:val="single" w:sz="48" w:space="0" w:color="FFFFFF" w:themeColor="background1"/>
              <w:bottom w:val="single" w:sz="8" w:space="0" w:color="272727"/>
              <w:right w:val="nil"/>
            </w:tcBorders>
          </w:tcPr>
          <w:p w14:paraId="4AECCD7A" w14:textId="77777777" w:rsidR="0088418E" w:rsidRPr="004943E7" w:rsidRDefault="0088418E" w:rsidP="00254198">
            <w:pPr>
              <w:pStyle w:val="TabelleText"/>
              <w:spacing w:before="240"/>
            </w:pPr>
          </w:p>
        </w:tc>
      </w:tr>
      <w:tr w:rsidR="00254198" w:rsidRPr="00201374" w14:paraId="6CF2C6A2" w14:textId="77777777" w:rsidTr="00254198">
        <w:trPr>
          <w:trHeight w:val="63"/>
        </w:trPr>
        <w:tc>
          <w:tcPr>
            <w:tcW w:w="5000" w:type="pct"/>
            <w:gridSpan w:val="5"/>
            <w:tcBorders>
              <w:top w:val="single" w:sz="2" w:space="0" w:color="272727"/>
              <w:left w:val="nil"/>
              <w:bottom w:val="single" w:sz="8" w:space="0" w:color="272727"/>
              <w:right w:val="single" w:sz="48" w:space="0" w:color="FFFFFF" w:themeColor="background1"/>
            </w:tcBorders>
          </w:tcPr>
          <w:p w14:paraId="03083556" w14:textId="036CB081" w:rsidR="00254198" w:rsidRPr="00254198" w:rsidRDefault="00254198" w:rsidP="004943E7">
            <w:pPr>
              <w:pStyle w:val="TabelleText"/>
              <w:rPr>
                <w:b/>
                <w:bCs/>
              </w:rPr>
            </w:pPr>
            <w:r w:rsidRPr="00254198">
              <w:rPr>
                <w:b/>
                <w:bCs/>
              </w:rPr>
              <w:t>Artikel 21 – Überwachung</w:t>
            </w:r>
          </w:p>
        </w:tc>
      </w:tr>
      <w:tr w:rsidR="00BC00BF" w:rsidRPr="00201374" w14:paraId="76C8D970" w14:textId="77777777" w:rsidTr="00BC00BF">
        <w:trPr>
          <w:trHeight w:val="63"/>
        </w:trPr>
        <w:tc>
          <w:tcPr>
            <w:tcW w:w="106" w:type="pct"/>
            <w:tcBorders>
              <w:top w:val="single" w:sz="2" w:space="0" w:color="272727"/>
              <w:left w:val="nil"/>
              <w:bottom w:val="single" w:sz="8" w:space="0" w:color="272727"/>
              <w:right w:val="single" w:sz="48" w:space="0" w:color="FFFFFF" w:themeColor="background1"/>
            </w:tcBorders>
          </w:tcPr>
          <w:p w14:paraId="238ED703" w14:textId="6E3D442C" w:rsidR="0088418E" w:rsidRPr="004943E7" w:rsidRDefault="00254198" w:rsidP="00254198">
            <w:pPr>
              <w:pStyle w:val="TabelleText"/>
              <w:spacing w:before="240"/>
            </w:pPr>
            <w:r>
              <w:t>(1)</w:t>
            </w:r>
          </w:p>
        </w:tc>
        <w:tc>
          <w:tcPr>
            <w:tcW w:w="1532" w:type="pct"/>
            <w:tcBorders>
              <w:top w:val="single" w:sz="2" w:space="0" w:color="272727"/>
              <w:left w:val="nil"/>
              <w:bottom w:val="single" w:sz="8" w:space="0" w:color="272727"/>
              <w:right w:val="single" w:sz="48" w:space="0" w:color="FFFFFF" w:themeColor="background1"/>
            </w:tcBorders>
          </w:tcPr>
          <w:p w14:paraId="611CD8B2" w14:textId="76B5129C" w:rsidR="0088418E" w:rsidRPr="004943E7" w:rsidRDefault="0088418E" w:rsidP="00254198">
            <w:pPr>
              <w:pStyle w:val="TabelleText"/>
              <w:spacing w:before="240"/>
            </w:pPr>
            <w:r w:rsidRPr="004943E7">
              <w:t xml:space="preserve">Damit die Zahlungsdienstleister, die in den Artikeln 10 bis 18 dargelegten Ausnahmen nutzen können, erfassen und überwachen sie für jede Zahlungsart </w:t>
            </w:r>
            <w:r w:rsidRPr="004943E7">
              <w:lastRenderedPageBreak/>
              <w:t>die folgenden Daten mindestens quartalsweise, wobei eine Aufschlüsselung nach Fernzahlungsvorgängen und Nicht-Fernzahlungsvorgängen vorzunehmen ist:</w:t>
            </w:r>
          </w:p>
          <w:p w14:paraId="2AB210F0" w14:textId="77777777" w:rsidR="0088418E" w:rsidRPr="004943E7" w:rsidRDefault="0088418E" w:rsidP="00254198">
            <w:pPr>
              <w:pStyle w:val="TabelleText"/>
              <w:spacing w:before="240"/>
            </w:pPr>
            <w:r w:rsidRPr="004943E7">
              <w:t>a) Gesamtwert der nicht autorisierten oder betrügerischen Zahlungsvorgänge (..), Gesamtwert aller Zahlungsvorgänge und die entsprechende Betrugsrate einschließlich einer Aufschlüsselung der unter Durchführung einer starken Kundenauthentifizierung ausgelösten und der im Rahmen der einzelnen Ausnahmen ausgeführten</w:t>
            </w:r>
          </w:p>
          <w:p w14:paraId="23635E44" w14:textId="388C523C" w:rsidR="0088418E" w:rsidRPr="004943E7" w:rsidRDefault="0088418E" w:rsidP="00254198">
            <w:pPr>
              <w:pStyle w:val="TabelleText"/>
              <w:spacing w:before="240"/>
            </w:pPr>
            <w:r w:rsidRPr="004943E7">
              <w:t>Zahlungsvorgänge;</w:t>
            </w:r>
          </w:p>
          <w:p w14:paraId="2039F1CA" w14:textId="7A3BAA19" w:rsidR="0088418E" w:rsidRPr="004943E7" w:rsidRDefault="0088418E" w:rsidP="00254198">
            <w:pPr>
              <w:pStyle w:val="TabelleText"/>
              <w:spacing w:before="240"/>
            </w:pPr>
            <w:r w:rsidRPr="004943E7">
              <w:t>b) durchschnittlicher Betrag der einzelnen Zahlungen, einschließlich einer Aufschlüsselung der unter Durchführung einer starken Kundenauthentifizierung ausgelösten und der im Rahmen der einzelnen Ausnahmen ausgeführten Zahlungsvorgänge;</w:t>
            </w:r>
          </w:p>
          <w:p w14:paraId="6465B221" w14:textId="45D86FD4" w:rsidR="0088418E" w:rsidRPr="004943E7" w:rsidRDefault="0088418E" w:rsidP="00254198">
            <w:pPr>
              <w:pStyle w:val="TabelleText"/>
              <w:spacing w:before="240"/>
            </w:pPr>
            <w:r w:rsidRPr="004943E7">
              <w:t>c) Anzahl der Zahlungsvorgänge, für die die einzelnen Ausnahmen genutzt wurden, und deren prozentualer Anteil Verhältnis zur Gesamtzahl der Zahlungsvorgänge.</w:t>
            </w:r>
          </w:p>
        </w:tc>
        <w:tc>
          <w:tcPr>
            <w:tcW w:w="1373" w:type="pct"/>
            <w:tcBorders>
              <w:top w:val="single" w:sz="2" w:space="0" w:color="272727"/>
              <w:left w:val="nil"/>
              <w:bottom w:val="single" w:sz="8" w:space="0" w:color="272727"/>
              <w:right w:val="single" w:sz="48" w:space="0" w:color="FFFFFF" w:themeColor="background1"/>
            </w:tcBorders>
          </w:tcPr>
          <w:p w14:paraId="52A40812" w14:textId="77777777" w:rsidR="0088418E" w:rsidRPr="004943E7" w:rsidRDefault="0088418E" w:rsidP="00254198">
            <w:pPr>
              <w:pStyle w:val="TabelleText"/>
              <w:spacing w:before="240"/>
            </w:pPr>
            <w:r w:rsidRPr="004943E7">
              <w:lastRenderedPageBreak/>
              <w:t xml:space="preserve">Pflicht zur quartalsweisen Betrugs- und Transaktionsüberwachung je Zahlungsart bei </w:t>
            </w:r>
            <w:r w:rsidRPr="004943E7">
              <w:lastRenderedPageBreak/>
              <w:t>Verwendung der in Art. 10 bis 18 dargelegten Ausnahmen.</w:t>
            </w:r>
          </w:p>
          <w:p w14:paraId="2C6F93A6" w14:textId="77777777" w:rsidR="0088418E" w:rsidRPr="004943E7" w:rsidRDefault="0088418E" w:rsidP="00254198">
            <w:pPr>
              <w:pStyle w:val="TabelleText"/>
              <w:spacing w:before="240"/>
            </w:pPr>
          </w:p>
        </w:tc>
        <w:tc>
          <w:tcPr>
            <w:tcW w:w="1004" w:type="pct"/>
            <w:tcBorders>
              <w:top w:val="single" w:sz="2" w:space="0" w:color="272727"/>
              <w:left w:val="single" w:sz="48" w:space="0" w:color="FFFFFF" w:themeColor="background1"/>
              <w:bottom w:val="single" w:sz="8" w:space="0" w:color="272727"/>
              <w:right w:val="nil"/>
            </w:tcBorders>
          </w:tcPr>
          <w:p w14:paraId="5328A842" w14:textId="1B97D1ED" w:rsidR="0088418E" w:rsidRPr="004943E7" w:rsidRDefault="0088418E" w:rsidP="00254198">
            <w:pPr>
              <w:pStyle w:val="TabelleText"/>
              <w:spacing w:before="240"/>
            </w:pPr>
            <w:r w:rsidRPr="004943E7">
              <w:lastRenderedPageBreak/>
              <w:t>Wird eine solche Übersicht erstellt?</w:t>
            </w:r>
          </w:p>
          <w:p w14:paraId="79065961" w14:textId="2A5D3044" w:rsidR="0088418E" w:rsidRPr="004943E7" w:rsidRDefault="0088418E" w:rsidP="00254198">
            <w:pPr>
              <w:pStyle w:val="TabelleText"/>
              <w:spacing w:before="240"/>
            </w:pPr>
            <w:r w:rsidRPr="004943E7">
              <w:lastRenderedPageBreak/>
              <w:t>Ist die Erstellung inklusive der zugrundeliegenden Daten der Übersicht dokumentiert und sind die Verantwortlichkeiten klar geregelt?</w:t>
            </w:r>
          </w:p>
          <w:p w14:paraId="26EEC92F" w14:textId="541158E6" w:rsidR="0088418E" w:rsidRPr="004943E7" w:rsidRDefault="0088418E" w:rsidP="00254198">
            <w:pPr>
              <w:pStyle w:val="TabelleText"/>
              <w:spacing w:before="240"/>
            </w:pPr>
            <w:r w:rsidRPr="004943E7">
              <w:t>Sind die Vorgaben der Buchst. a) bis c) implementiert?</w:t>
            </w:r>
          </w:p>
          <w:p w14:paraId="31A8C4AD" w14:textId="77777777" w:rsidR="0088418E" w:rsidRPr="004943E7" w:rsidRDefault="0088418E" w:rsidP="00254198">
            <w:pPr>
              <w:pStyle w:val="TabelleText"/>
              <w:spacing w:before="240"/>
            </w:pPr>
            <w:r w:rsidRPr="004943E7">
              <w:t>Ist die Zuordnung der Zahlungen korrekt erfolgt (ggf. Stichprobenprüfung)?</w:t>
            </w:r>
          </w:p>
          <w:p w14:paraId="4F802437" w14:textId="77777777" w:rsidR="0088418E" w:rsidRPr="004943E7" w:rsidRDefault="0088418E" w:rsidP="00254198">
            <w:pPr>
              <w:pStyle w:val="TabelleText"/>
              <w:spacing w:before="240"/>
            </w:pPr>
          </w:p>
        </w:tc>
        <w:tc>
          <w:tcPr>
            <w:tcW w:w="985" w:type="pct"/>
            <w:tcBorders>
              <w:top w:val="single" w:sz="2" w:space="0" w:color="272727"/>
              <w:left w:val="single" w:sz="48" w:space="0" w:color="FFFFFF" w:themeColor="background1"/>
              <w:bottom w:val="single" w:sz="8" w:space="0" w:color="272727"/>
              <w:right w:val="nil"/>
            </w:tcBorders>
          </w:tcPr>
          <w:p w14:paraId="01FA34D1" w14:textId="77777777" w:rsidR="0088418E" w:rsidRPr="004943E7" w:rsidRDefault="0088418E" w:rsidP="00254198">
            <w:pPr>
              <w:pStyle w:val="TabelleText"/>
              <w:spacing w:before="240"/>
            </w:pPr>
          </w:p>
        </w:tc>
      </w:tr>
      <w:tr w:rsidR="00BC00BF" w:rsidRPr="00201374" w14:paraId="2A65B21A" w14:textId="77777777" w:rsidTr="00BC00BF">
        <w:trPr>
          <w:trHeight w:val="63"/>
        </w:trPr>
        <w:tc>
          <w:tcPr>
            <w:tcW w:w="106" w:type="pct"/>
            <w:tcBorders>
              <w:top w:val="single" w:sz="2" w:space="0" w:color="272727"/>
              <w:left w:val="nil"/>
              <w:bottom w:val="single" w:sz="8" w:space="0" w:color="272727"/>
              <w:right w:val="single" w:sz="48" w:space="0" w:color="FFFFFF" w:themeColor="background1"/>
            </w:tcBorders>
          </w:tcPr>
          <w:p w14:paraId="2F577C58" w14:textId="0D5DA76D" w:rsidR="0088418E" w:rsidRPr="004943E7" w:rsidRDefault="00254198" w:rsidP="00254198">
            <w:pPr>
              <w:pStyle w:val="TabelleText"/>
              <w:spacing w:before="240"/>
            </w:pPr>
            <w:r>
              <w:t>(2)</w:t>
            </w:r>
          </w:p>
        </w:tc>
        <w:tc>
          <w:tcPr>
            <w:tcW w:w="1532" w:type="pct"/>
            <w:tcBorders>
              <w:top w:val="single" w:sz="2" w:space="0" w:color="272727"/>
              <w:left w:val="nil"/>
              <w:bottom w:val="single" w:sz="8" w:space="0" w:color="272727"/>
              <w:right w:val="single" w:sz="48" w:space="0" w:color="FFFFFF" w:themeColor="background1"/>
            </w:tcBorders>
          </w:tcPr>
          <w:p w14:paraId="63343089" w14:textId="277A9A5A" w:rsidR="0088418E" w:rsidRPr="004943E7" w:rsidRDefault="0088418E" w:rsidP="00254198">
            <w:pPr>
              <w:pStyle w:val="TabelleText"/>
              <w:spacing w:before="240"/>
            </w:pPr>
            <w:r w:rsidRPr="004943E7">
              <w:t xml:space="preserve">Die Zahlungsdienstleister stellen den zuständigen Behörden und der EBA die Ergebnisse ihrer Überwachung nach Absatz 1 zur Verfügung und zeigen </w:t>
            </w:r>
            <w:r w:rsidRPr="004943E7">
              <w:lastRenderedPageBreak/>
              <w:t>sie der (den) zuständige(n) Behörde(n) auf deren Verlangen vorab an.</w:t>
            </w:r>
          </w:p>
        </w:tc>
        <w:tc>
          <w:tcPr>
            <w:tcW w:w="1373" w:type="pct"/>
            <w:tcBorders>
              <w:top w:val="single" w:sz="2" w:space="0" w:color="272727"/>
              <w:left w:val="nil"/>
              <w:bottom w:val="single" w:sz="8" w:space="0" w:color="272727"/>
              <w:right w:val="single" w:sz="48" w:space="0" w:color="FFFFFF" w:themeColor="background1"/>
            </w:tcBorders>
          </w:tcPr>
          <w:p w14:paraId="6436E8AF" w14:textId="4407117A" w:rsidR="0088418E" w:rsidRPr="004943E7" w:rsidRDefault="0088418E" w:rsidP="00254198">
            <w:pPr>
              <w:pStyle w:val="TabelleText"/>
              <w:spacing w:before="240"/>
            </w:pPr>
            <w:r w:rsidRPr="004943E7">
              <w:lastRenderedPageBreak/>
              <w:t>Anforderungen an die Bereitstellung der Überwachungsergebnisse.</w:t>
            </w:r>
          </w:p>
        </w:tc>
        <w:tc>
          <w:tcPr>
            <w:tcW w:w="1004" w:type="pct"/>
            <w:tcBorders>
              <w:top w:val="single" w:sz="2" w:space="0" w:color="272727"/>
              <w:left w:val="single" w:sz="48" w:space="0" w:color="FFFFFF" w:themeColor="background1"/>
              <w:bottom w:val="single" w:sz="8" w:space="0" w:color="272727"/>
              <w:right w:val="nil"/>
            </w:tcBorders>
          </w:tcPr>
          <w:p w14:paraId="52F653CA" w14:textId="5DF98D45" w:rsidR="0088418E" w:rsidRPr="004943E7" w:rsidRDefault="0088418E" w:rsidP="00254198">
            <w:pPr>
              <w:pStyle w:val="TabelleText"/>
              <w:spacing w:before="240"/>
            </w:pPr>
            <w:r w:rsidRPr="004943E7">
              <w:t>Welcher Fachbereich ist für die quartalsweise Meldung der Zahlungsverkehrsstatistik zuständig?</w:t>
            </w:r>
          </w:p>
          <w:p w14:paraId="4D695A79" w14:textId="49AD8A93" w:rsidR="0088418E" w:rsidRPr="004943E7" w:rsidRDefault="0088418E" w:rsidP="00254198">
            <w:pPr>
              <w:pStyle w:val="TabelleText"/>
              <w:spacing w:before="240"/>
            </w:pPr>
            <w:r w:rsidRPr="004943E7">
              <w:lastRenderedPageBreak/>
              <w:t xml:space="preserve">Wird diese fristgerecht erstellt und gemeldet? </w:t>
            </w:r>
          </w:p>
          <w:p w14:paraId="29897783" w14:textId="75BCB58F" w:rsidR="0088418E" w:rsidRPr="004943E7" w:rsidRDefault="0088418E" w:rsidP="00254198">
            <w:pPr>
              <w:pStyle w:val="TabelleText"/>
              <w:spacing w:before="240"/>
            </w:pPr>
            <w:r w:rsidRPr="004943E7">
              <w:t>Gibt es Auffälligkeiten?</w:t>
            </w:r>
          </w:p>
        </w:tc>
        <w:tc>
          <w:tcPr>
            <w:tcW w:w="985" w:type="pct"/>
            <w:tcBorders>
              <w:top w:val="single" w:sz="2" w:space="0" w:color="272727"/>
              <w:left w:val="single" w:sz="48" w:space="0" w:color="FFFFFF" w:themeColor="background1"/>
              <w:bottom w:val="single" w:sz="8" w:space="0" w:color="272727"/>
              <w:right w:val="nil"/>
            </w:tcBorders>
          </w:tcPr>
          <w:p w14:paraId="19BAB2AF" w14:textId="77777777" w:rsidR="0088418E" w:rsidRPr="004943E7" w:rsidRDefault="0088418E" w:rsidP="00254198">
            <w:pPr>
              <w:pStyle w:val="TabelleText"/>
              <w:spacing w:before="240"/>
            </w:pPr>
          </w:p>
        </w:tc>
      </w:tr>
    </w:tbl>
    <w:p w14:paraId="054F7658" w14:textId="77777777" w:rsidR="006A0024" w:rsidRPr="00201374" w:rsidRDefault="006A0024" w:rsidP="006A0024">
      <w:pPr>
        <w:rPr>
          <w:rFonts w:cs="Arial"/>
        </w:rPr>
      </w:pPr>
    </w:p>
    <w:p w14:paraId="79A1F6E7" w14:textId="5589F24E" w:rsidR="00024DC0" w:rsidRPr="00201374" w:rsidRDefault="00024DC0" w:rsidP="006A0024">
      <w:pPr>
        <w:rPr>
          <w:rFonts w:cs="Arial"/>
        </w:rPr>
      </w:pPr>
    </w:p>
    <w:p w14:paraId="2667348A" w14:textId="74A84FB2" w:rsidR="00024DC0" w:rsidRPr="00263ED5" w:rsidRDefault="00024DC0" w:rsidP="00D41CB8">
      <w:pPr>
        <w:pStyle w:val="berschrift1"/>
      </w:pPr>
      <w:bookmarkStart w:id="17" w:name="_Toc240029083"/>
      <w:bookmarkStart w:id="18" w:name="_Toc240360284"/>
      <w:r w:rsidRPr="00263ED5">
        <w:lastRenderedPageBreak/>
        <w:t xml:space="preserve">Vertraulichkeit und </w:t>
      </w:r>
      <w:r w:rsidRPr="00D41CB8">
        <w:t>Integrität</w:t>
      </w:r>
      <w:r w:rsidRPr="00263ED5">
        <w:t xml:space="preserve"> der personalisierten Sicherheitsmerkmale</w:t>
      </w:r>
      <w:r w:rsidR="00263ED5" w:rsidRPr="00263ED5">
        <w:t xml:space="preserve"> </w:t>
      </w:r>
      <w:r w:rsidRPr="00263ED5">
        <w:t>der Zahlungsdienstnutzer</w:t>
      </w:r>
      <w:bookmarkEnd w:id="17"/>
      <w:bookmarkEnd w:id="18"/>
    </w:p>
    <w:tbl>
      <w:tblPr>
        <w:tblStyle w:val="Tabellenraster"/>
        <w:tblW w:w="5000" w:type="pct"/>
        <w:tblCellMar>
          <w:left w:w="0" w:type="dxa"/>
          <w:right w:w="0" w:type="dxa"/>
        </w:tblCellMar>
        <w:tblLook w:val="0620" w:firstRow="1" w:lastRow="0" w:firstColumn="0" w:lastColumn="0" w:noHBand="1" w:noVBand="1"/>
      </w:tblPr>
      <w:tblGrid>
        <w:gridCol w:w="284"/>
        <w:gridCol w:w="4110"/>
        <w:gridCol w:w="3826"/>
        <w:gridCol w:w="2552"/>
        <w:gridCol w:w="2643"/>
      </w:tblGrid>
      <w:tr w:rsidR="00254198" w:rsidRPr="00201374" w14:paraId="16C9E468" w14:textId="77777777" w:rsidTr="00CC665E">
        <w:trPr>
          <w:trHeight w:val="177"/>
          <w:tblHeader/>
        </w:trPr>
        <w:tc>
          <w:tcPr>
            <w:tcW w:w="1638" w:type="pct"/>
            <w:gridSpan w:val="2"/>
            <w:tcBorders>
              <w:top w:val="single" w:sz="12" w:space="0" w:color="272727"/>
              <w:left w:val="nil"/>
              <w:bottom w:val="single" w:sz="8" w:space="0" w:color="272727"/>
              <w:right w:val="single" w:sz="48" w:space="0" w:color="FFFFFF" w:themeColor="background1"/>
            </w:tcBorders>
          </w:tcPr>
          <w:p w14:paraId="117D67AC" w14:textId="6AF03F32" w:rsidR="00254198" w:rsidRPr="00201374" w:rsidRDefault="00254198" w:rsidP="006A533E">
            <w:pPr>
              <w:pStyle w:val="Tabelleberschrift2"/>
              <w:rPr>
                <w:rFonts w:cs="Arial"/>
              </w:rPr>
            </w:pPr>
            <w:r w:rsidRPr="00201374">
              <w:rPr>
                <w:rFonts w:cs="Arial"/>
              </w:rPr>
              <w:t>Artikel</w:t>
            </w:r>
          </w:p>
        </w:tc>
        <w:tc>
          <w:tcPr>
            <w:tcW w:w="1426" w:type="pct"/>
            <w:tcBorders>
              <w:top w:val="single" w:sz="12" w:space="0" w:color="272727"/>
              <w:left w:val="single" w:sz="48" w:space="0" w:color="FFFFFF" w:themeColor="background1"/>
              <w:bottom w:val="single" w:sz="8" w:space="0" w:color="272727"/>
              <w:right w:val="single" w:sz="48" w:space="0" w:color="FFFFFF" w:themeColor="background1"/>
            </w:tcBorders>
          </w:tcPr>
          <w:p w14:paraId="12FEE4F7" w14:textId="5FC4114E" w:rsidR="00254198" w:rsidRPr="00201374" w:rsidRDefault="00254198" w:rsidP="006A533E">
            <w:pPr>
              <w:pStyle w:val="Tabelleberschrift2"/>
              <w:rPr>
                <w:rFonts w:cs="Arial"/>
              </w:rPr>
            </w:pPr>
            <w:r w:rsidRPr="00201374">
              <w:rPr>
                <w:rFonts w:cs="Arial"/>
              </w:rPr>
              <w:t>Wesentliche Inhalte/ergänzende Erläuterungen</w:t>
            </w:r>
          </w:p>
        </w:tc>
        <w:tc>
          <w:tcPr>
            <w:tcW w:w="951" w:type="pct"/>
            <w:tcBorders>
              <w:top w:val="single" w:sz="12" w:space="0" w:color="272727"/>
              <w:left w:val="single" w:sz="48" w:space="0" w:color="FFFFFF" w:themeColor="background1"/>
              <w:bottom w:val="single" w:sz="8" w:space="0" w:color="272727"/>
              <w:right w:val="nil"/>
            </w:tcBorders>
          </w:tcPr>
          <w:p w14:paraId="57A2830A" w14:textId="4D15CF9B" w:rsidR="00254198" w:rsidRPr="00201374" w:rsidRDefault="00254198" w:rsidP="006A533E">
            <w:pPr>
              <w:pStyle w:val="Tabelleberschrift2"/>
              <w:rPr>
                <w:rFonts w:cs="Arial"/>
              </w:rPr>
            </w:pPr>
            <w:r w:rsidRPr="00201374">
              <w:rPr>
                <w:rFonts w:cs="Arial"/>
              </w:rPr>
              <w:t>Prüfungsvorschläge und Fragestellungen</w:t>
            </w:r>
          </w:p>
        </w:tc>
        <w:tc>
          <w:tcPr>
            <w:tcW w:w="985" w:type="pct"/>
            <w:tcBorders>
              <w:top w:val="single" w:sz="12" w:space="0" w:color="272727"/>
              <w:left w:val="single" w:sz="48" w:space="0" w:color="FFFFFF" w:themeColor="background1"/>
              <w:bottom w:val="single" w:sz="8" w:space="0" w:color="272727"/>
              <w:right w:val="nil"/>
            </w:tcBorders>
          </w:tcPr>
          <w:p w14:paraId="1089F007" w14:textId="66234B6D" w:rsidR="00254198" w:rsidRPr="00201374" w:rsidRDefault="00254198" w:rsidP="006A533E">
            <w:pPr>
              <w:pStyle w:val="Tabelleberschrift2"/>
              <w:rPr>
                <w:rFonts w:cs="Arial"/>
              </w:rPr>
            </w:pPr>
            <w:r w:rsidRPr="00201374">
              <w:rPr>
                <w:rFonts w:cs="Arial"/>
              </w:rPr>
              <w:t>Prüfung beim Dienstleister bei Outsourcing (</w:t>
            </w:r>
            <w:r w:rsidRPr="00201374">
              <w:rPr>
                <w:rFonts w:cs="Arial"/>
                <w:i/>
                <w:iCs/>
              </w:rPr>
              <w:t>falls relevant</w:t>
            </w:r>
            <w:r w:rsidRPr="00201374">
              <w:rPr>
                <w:rFonts w:cs="Arial"/>
              </w:rPr>
              <w:t>)</w:t>
            </w:r>
          </w:p>
        </w:tc>
      </w:tr>
      <w:tr w:rsidR="00254198" w:rsidRPr="00201374" w14:paraId="550E5322" w14:textId="77777777" w:rsidTr="00254198">
        <w:trPr>
          <w:trHeight w:val="321"/>
        </w:trPr>
        <w:tc>
          <w:tcPr>
            <w:tcW w:w="5000" w:type="pct"/>
            <w:gridSpan w:val="5"/>
            <w:tcBorders>
              <w:top w:val="single" w:sz="8" w:space="0" w:color="272727"/>
              <w:left w:val="nil"/>
              <w:bottom w:val="single" w:sz="2" w:space="0" w:color="272727"/>
              <w:right w:val="single" w:sz="48" w:space="0" w:color="FFFFFF" w:themeColor="background1"/>
            </w:tcBorders>
          </w:tcPr>
          <w:p w14:paraId="7280DF95" w14:textId="4E68B2BB" w:rsidR="00254198" w:rsidRPr="00254198" w:rsidRDefault="00254198" w:rsidP="00254198">
            <w:pPr>
              <w:pStyle w:val="TabelleText"/>
              <w:rPr>
                <w:b/>
                <w:bCs/>
              </w:rPr>
            </w:pPr>
            <w:r w:rsidRPr="00254198">
              <w:rPr>
                <w:b/>
                <w:bCs/>
              </w:rPr>
              <w:t>Artikel 22 - Allgemeine Anforderungen</w:t>
            </w:r>
          </w:p>
        </w:tc>
      </w:tr>
      <w:tr w:rsidR="00254198" w:rsidRPr="00201374" w14:paraId="44CD6F4E" w14:textId="77777777" w:rsidTr="00CC665E">
        <w:trPr>
          <w:trHeight w:val="173"/>
        </w:trPr>
        <w:tc>
          <w:tcPr>
            <w:tcW w:w="106" w:type="pct"/>
            <w:tcBorders>
              <w:top w:val="single" w:sz="2" w:space="0" w:color="272727"/>
              <w:left w:val="nil"/>
              <w:bottom w:val="single" w:sz="2" w:space="0" w:color="272727"/>
              <w:right w:val="single" w:sz="48" w:space="0" w:color="FFFFFF" w:themeColor="background1"/>
            </w:tcBorders>
          </w:tcPr>
          <w:p w14:paraId="554AF672" w14:textId="41C1AF6C" w:rsidR="00254198" w:rsidRPr="00201374" w:rsidRDefault="00254198" w:rsidP="00254198">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219830DF" w14:textId="74431CAD" w:rsidR="00254198" w:rsidRPr="00201374" w:rsidRDefault="00254198" w:rsidP="00254198">
            <w:pPr>
              <w:pStyle w:val="TabelleText"/>
              <w:spacing w:before="240"/>
            </w:pPr>
            <w:r w:rsidRPr="00201374">
              <w:t xml:space="preserve">Die Zahlungsdienstleister gewährleisten die Vertraulichkeit und die Integrität der personalisierten Sicherheitsmerkmale des Zahlungsdienstnutzers, einschließlich Authentifizierungscodes, in jeder Phase der Authentifizierung. </w:t>
            </w:r>
          </w:p>
        </w:tc>
        <w:tc>
          <w:tcPr>
            <w:tcW w:w="1426" w:type="pct"/>
            <w:tcBorders>
              <w:top w:val="single" w:sz="2" w:space="0" w:color="272727"/>
              <w:left w:val="nil"/>
              <w:bottom w:val="single" w:sz="2" w:space="0" w:color="272727"/>
              <w:right w:val="single" w:sz="48" w:space="0" w:color="FFFFFF" w:themeColor="background1"/>
            </w:tcBorders>
          </w:tcPr>
          <w:p w14:paraId="6697959B" w14:textId="416AF37A" w:rsidR="00254198" w:rsidRPr="00201374" w:rsidRDefault="00254198" w:rsidP="00254198">
            <w:pPr>
              <w:pStyle w:val="TabelleText"/>
              <w:spacing w:before="240"/>
            </w:pPr>
            <w:r w:rsidRPr="00201374">
              <w:t xml:space="preserve">Anforderungen an die persönlichen Sicherheitsmerkmale (bspw. PIN). </w:t>
            </w:r>
          </w:p>
        </w:tc>
        <w:tc>
          <w:tcPr>
            <w:tcW w:w="951" w:type="pct"/>
            <w:tcBorders>
              <w:top w:val="single" w:sz="2" w:space="0" w:color="272727"/>
              <w:left w:val="single" w:sz="48" w:space="0" w:color="FFFFFF" w:themeColor="background1"/>
              <w:bottom w:val="single" w:sz="2" w:space="0" w:color="272727"/>
              <w:right w:val="nil"/>
            </w:tcBorders>
          </w:tcPr>
          <w:p w14:paraId="40DD0E57" w14:textId="21AA0292" w:rsidR="00254198" w:rsidRPr="00201374" w:rsidRDefault="00254198" w:rsidP="00254198">
            <w:pPr>
              <w:pStyle w:val="TabelleText"/>
              <w:spacing w:before="240"/>
            </w:pPr>
            <w:r w:rsidRPr="00201374">
              <w:t>Einloggen im eigenen Electronic-Banking Kanal (bspw. Online, Mobile) des Prüfers und schauen, ob das Passwort vollständig (nicht zulässig) ersichtlich oder verschleiert ist.</w:t>
            </w:r>
          </w:p>
          <w:p w14:paraId="5FDDC7E9" w14:textId="1231545D" w:rsidR="00254198" w:rsidRPr="00201374" w:rsidRDefault="00254198" w:rsidP="00254198">
            <w:pPr>
              <w:pStyle w:val="TabelleText"/>
              <w:spacing w:before="240"/>
            </w:pPr>
            <w:r w:rsidRPr="00201374">
              <w:t>Prüfen, ob die Anwendungen, die als Zugangskanäle dienen, die verpflichtende Verschlüsselung sowohl bei der Übertragung als auch der Speicherung vorhalten (bspw. anhand der geforderten Dokumentation gem. Abs. 3).</w:t>
            </w:r>
          </w:p>
          <w:p w14:paraId="605336CB" w14:textId="23F3465D" w:rsidR="00254198" w:rsidRPr="00201374" w:rsidRDefault="00254198" w:rsidP="00254198">
            <w:pPr>
              <w:pStyle w:val="TabelleText"/>
              <w:spacing w:before="240"/>
            </w:pPr>
            <w:r w:rsidRPr="00201374">
              <w:t xml:space="preserve">Gesamtübersicht der Infrastruktur einschließlich sicherheitsrelevanter Aspekte (Firewalls, DMZ „demilitarized zone“, </w:t>
            </w:r>
            <w:r w:rsidRPr="00201374">
              <w:lastRenderedPageBreak/>
              <w:t>Verschlüsselung) anfordern, um das Setup zu prüfen.</w:t>
            </w:r>
          </w:p>
        </w:tc>
        <w:tc>
          <w:tcPr>
            <w:tcW w:w="985" w:type="pct"/>
            <w:tcBorders>
              <w:top w:val="single" w:sz="2" w:space="0" w:color="272727"/>
              <w:left w:val="single" w:sz="48" w:space="0" w:color="FFFFFF" w:themeColor="background1"/>
              <w:bottom w:val="single" w:sz="2" w:space="0" w:color="272727"/>
              <w:right w:val="nil"/>
            </w:tcBorders>
          </w:tcPr>
          <w:p w14:paraId="736A01A1" w14:textId="0DF6CA34" w:rsidR="00254198" w:rsidRPr="00201374" w:rsidRDefault="00254198" w:rsidP="00254198">
            <w:pPr>
              <w:pStyle w:val="TabelleText"/>
              <w:spacing w:before="240"/>
            </w:pPr>
          </w:p>
        </w:tc>
      </w:tr>
      <w:tr w:rsidR="00254198" w:rsidRPr="00201374" w14:paraId="2085C50C" w14:textId="77777777" w:rsidTr="00CC665E">
        <w:trPr>
          <w:trHeight w:val="173"/>
        </w:trPr>
        <w:tc>
          <w:tcPr>
            <w:tcW w:w="106" w:type="pct"/>
            <w:tcBorders>
              <w:top w:val="single" w:sz="2" w:space="0" w:color="272727"/>
              <w:left w:val="nil"/>
              <w:bottom w:val="single" w:sz="2" w:space="0" w:color="272727"/>
              <w:right w:val="single" w:sz="48" w:space="0" w:color="FFFFFF" w:themeColor="background1"/>
            </w:tcBorders>
          </w:tcPr>
          <w:p w14:paraId="41B57398" w14:textId="61776F9F" w:rsidR="00254198" w:rsidRPr="00201374" w:rsidRDefault="00254198" w:rsidP="00254198">
            <w:pPr>
              <w:pStyle w:val="TabelleText"/>
              <w:spacing w:before="240"/>
            </w:pPr>
            <w:r>
              <w:t>(2)</w:t>
            </w:r>
          </w:p>
        </w:tc>
        <w:tc>
          <w:tcPr>
            <w:tcW w:w="1532" w:type="pct"/>
            <w:tcBorders>
              <w:top w:val="single" w:sz="2" w:space="0" w:color="272727"/>
              <w:left w:val="nil"/>
              <w:bottom w:val="single" w:sz="2" w:space="0" w:color="272727"/>
              <w:right w:val="single" w:sz="48" w:space="0" w:color="FFFFFF" w:themeColor="background1"/>
            </w:tcBorders>
          </w:tcPr>
          <w:p w14:paraId="7C0B6AB8" w14:textId="4772E9FC" w:rsidR="00254198" w:rsidRPr="00201374" w:rsidRDefault="00254198" w:rsidP="00254198">
            <w:pPr>
              <w:pStyle w:val="TabelleText"/>
              <w:spacing w:before="240"/>
            </w:pPr>
            <w:r w:rsidRPr="00201374">
              <w:t xml:space="preserve">Für die Zwecke des Abs. 1 gewährleisten die Zahlungsdienstleister, dass alle folgenden Anforderungen erfüllt sind: </w:t>
            </w:r>
          </w:p>
          <w:p w14:paraId="659A0D54" w14:textId="1E8753FF" w:rsidR="00254198" w:rsidRPr="00201374" w:rsidRDefault="00254198" w:rsidP="00254198">
            <w:pPr>
              <w:pStyle w:val="TabelleText"/>
              <w:spacing w:before="240"/>
            </w:pPr>
            <w:r w:rsidRPr="00201374">
              <w:t>a) Die personalisierten Sicherheitsmerkmale werden bei ihrer Anzeige verschleiert und sind nicht in ihrem gesamten Umfang lesbar, wenn sie vom Zahlungsdienstnutzer während der Authentifizierung eingegeben werden.</w:t>
            </w:r>
          </w:p>
          <w:p w14:paraId="7430F86B" w14:textId="5B8AF7E9" w:rsidR="00254198" w:rsidRPr="00201374" w:rsidRDefault="00254198" w:rsidP="00254198">
            <w:pPr>
              <w:pStyle w:val="TabelleText"/>
              <w:spacing w:before="240"/>
            </w:pPr>
            <w:r w:rsidRPr="00201374">
              <w:t>b) Die personalisierten Sicherheitsmerkmale im Datenformat sowie das kryptografische Material im Zusammenhang mit der Verschlüsselung der personalisierten Sicherheitsmerkmale werden nicht im Klartext gespeichert.</w:t>
            </w:r>
          </w:p>
          <w:p w14:paraId="15E16D64" w14:textId="76FC4521" w:rsidR="00254198" w:rsidRPr="00201374" w:rsidRDefault="00254198" w:rsidP="00254198">
            <w:pPr>
              <w:pStyle w:val="TabelleText"/>
              <w:spacing w:before="240"/>
            </w:pPr>
            <w:r w:rsidRPr="00201374">
              <w:t>c) Das geheime kryptografische Material ist vor unbefugter Offenlegung geschützt.</w:t>
            </w:r>
          </w:p>
        </w:tc>
        <w:tc>
          <w:tcPr>
            <w:tcW w:w="1426" w:type="pct"/>
            <w:tcBorders>
              <w:top w:val="single" w:sz="2" w:space="0" w:color="272727"/>
              <w:left w:val="nil"/>
              <w:bottom w:val="single" w:sz="2" w:space="0" w:color="272727"/>
              <w:right w:val="single" w:sz="48" w:space="0" w:color="FFFFFF" w:themeColor="background1"/>
            </w:tcBorders>
          </w:tcPr>
          <w:p w14:paraId="042E5997" w14:textId="57A64813" w:rsidR="00254198" w:rsidRPr="00201374" w:rsidRDefault="00254198" w:rsidP="00254198">
            <w:pPr>
              <w:pStyle w:val="TabelleText"/>
              <w:spacing w:before="240"/>
            </w:pPr>
            <w:r w:rsidRPr="00201374">
              <w:t>Anforderung an den Schutz personalisierter Sicherheitsmerkmale und kryptografischer Authentifizierungsdaten.</w:t>
            </w:r>
          </w:p>
        </w:tc>
        <w:tc>
          <w:tcPr>
            <w:tcW w:w="951" w:type="pct"/>
            <w:tcBorders>
              <w:top w:val="single" w:sz="2" w:space="0" w:color="272727"/>
              <w:left w:val="single" w:sz="48" w:space="0" w:color="FFFFFF" w:themeColor="background1"/>
              <w:bottom w:val="single" w:sz="2" w:space="0" w:color="272727"/>
              <w:right w:val="nil"/>
            </w:tcBorders>
          </w:tcPr>
          <w:p w14:paraId="323A73C7" w14:textId="097E258B" w:rsidR="00254198" w:rsidRPr="00201374" w:rsidRDefault="00254198" w:rsidP="00254198">
            <w:pPr>
              <w:pStyle w:val="TabelleText"/>
              <w:spacing w:before="240"/>
            </w:pPr>
            <w:r w:rsidRPr="00201374">
              <w:t>Wie wird sichergestellt, dass personalisierte Sicherheitsmerkmale bei Anzeige/Eingabe verschleiert werden und nicht vollständig lesbar sind (über alle Kanäle/Frontends hinweg)?</w:t>
            </w:r>
          </w:p>
          <w:p w14:paraId="30AF6A80" w14:textId="48AE233F" w:rsidR="00254198" w:rsidRPr="00201374" w:rsidRDefault="00254198" w:rsidP="00254198">
            <w:pPr>
              <w:pStyle w:val="TabelleText"/>
              <w:spacing w:before="240"/>
            </w:pPr>
            <w:r w:rsidRPr="00201374">
              <w:t>Wie wird nachgewiesen, dass personalisierte Sicherheitsmerkmale im Datenformat sowie zugehöriges kryptografisches Material nicht im Klartext gespeichert werden (Datenhaltung, Logs, Backups, Caches, Telemetrie)?</w:t>
            </w:r>
          </w:p>
          <w:p w14:paraId="012FBB8B" w14:textId="46DF1382" w:rsidR="00254198" w:rsidRPr="00201374" w:rsidRDefault="00254198" w:rsidP="00254198">
            <w:pPr>
              <w:pStyle w:val="TabelleText"/>
              <w:spacing w:before="240"/>
            </w:pPr>
            <w:r w:rsidRPr="00201374">
              <w:t>Welche technischen und organisatorischen Maßnahmen schützen „geheimes kryptografisches Material“ vor unbefugter Offenlegung (z. B. Rollen-/Rechtekonzept, Schlüsselzugriff, Betriebsprozesse)?</w:t>
            </w:r>
          </w:p>
        </w:tc>
        <w:tc>
          <w:tcPr>
            <w:tcW w:w="985" w:type="pct"/>
            <w:tcBorders>
              <w:top w:val="single" w:sz="2" w:space="0" w:color="272727"/>
              <w:left w:val="single" w:sz="48" w:space="0" w:color="FFFFFF" w:themeColor="background1"/>
              <w:bottom w:val="single" w:sz="2" w:space="0" w:color="272727"/>
              <w:right w:val="nil"/>
            </w:tcBorders>
          </w:tcPr>
          <w:p w14:paraId="1F3A7420" w14:textId="77777777" w:rsidR="00254198" w:rsidRPr="00201374" w:rsidRDefault="00254198" w:rsidP="00254198">
            <w:pPr>
              <w:pStyle w:val="TabelleText"/>
              <w:spacing w:before="240"/>
            </w:pPr>
          </w:p>
        </w:tc>
      </w:tr>
      <w:tr w:rsidR="00254198" w:rsidRPr="00201374" w14:paraId="406178A8" w14:textId="77777777" w:rsidTr="00CC665E">
        <w:trPr>
          <w:trHeight w:val="173"/>
        </w:trPr>
        <w:tc>
          <w:tcPr>
            <w:tcW w:w="106" w:type="pct"/>
            <w:tcBorders>
              <w:top w:val="single" w:sz="2" w:space="0" w:color="272727"/>
              <w:left w:val="nil"/>
              <w:bottom w:val="single" w:sz="2" w:space="0" w:color="272727"/>
              <w:right w:val="single" w:sz="48" w:space="0" w:color="FFFFFF" w:themeColor="background1"/>
            </w:tcBorders>
          </w:tcPr>
          <w:p w14:paraId="1A1FA651" w14:textId="151F7857" w:rsidR="00254198" w:rsidRPr="00201374" w:rsidRDefault="00254198" w:rsidP="00254198">
            <w:pPr>
              <w:pStyle w:val="TabelleText"/>
              <w:spacing w:before="240"/>
            </w:pPr>
            <w:r>
              <w:lastRenderedPageBreak/>
              <w:t>(3)</w:t>
            </w:r>
          </w:p>
        </w:tc>
        <w:tc>
          <w:tcPr>
            <w:tcW w:w="1532" w:type="pct"/>
            <w:tcBorders>
              <w:top w:val="single" w:sz="2" w:space="0" w:color="272727"/>
              <w:left w:val="nil"/>
              <w:bottom w:val="single" w:sz="2" w:space="0" w:color="272727"/>
              <w:right w:val="single" w:sz="48" w:space="0" w:color="FFFFFF" w:themeColor="background1"/>
            </w:tcBorders>
          </w:tcPr>
          <w:p w14:paraId="5A158FEB" w14:textId="6DE0E72F" w:rsidR="00254198" w:rsidRPr="00201374" w:rsidRDefault="00254198" w:rsidP="00254198">
            <w:pPr>
              <w:pStyle w:val="TabelleText"/>
              <w:spacing w:before="240"/>
            </w:pPr>
            <w:r w:rsidRPr="00201374">
              <w:t xml:space="preserve">Die Zahlungsdienstleister dokumentieren den Prozess zur Verwaltung des kryptografischen Materials, mit dem die personalisierten Sicherheitsmerkmale verschlüsselt oder auf andere Weise unlesbar gemacht werden, vollständig. </w:t>
            </w:r>
          </w:p>
        </w:tc>
        <w:tc>
          <w:tcPr>
            <w:tcW w:w="1426" w:type="pct"/>
            <w:tcBorders>
              <w:top w:val="single" w:sz="2" w:space="0" w:color="272727"/>
              <w:left w:val="nil"/>
              <w:bottom w:val="single" w:sz="2" w:space="0" w:color="272727"/>
              <w:right w:val="single" w:sz="48" w:space="0" w:color="FFFFFF" w:themeColor="background1"/>
            </w:tcBorders>
          </w:tcPr>
          <w:p w14:paraId="083F0D0E" w14:textId="55711289" w:rsidR="00254198" w:rsidRPr="00201374" w:rsidRDefault="00254198" w:rsidP="00254198">
            <w:pPr>
              <w:pStyle w:val="TabelleText"/>
              <w:spacing w:before="240"/>
            </w:pPr>
            <w:r w:rsidRPr="00201374">
              <w:t>Anforderung an die Dokumentation des Kryptomanagement-Prozesses für personalisierte Sicherheitsmerkmale.</w:t>
            </w:r>
          </w:p>
        </w:tc>
        <w:tc>
          <w:tcPr>
            <w:tcW w:w="951" w:type="pct"/>
            <w:tcBorders>
              <w:top w:val="single" w:sz="2" w:space="0" w:color="272727"/>
              <w:left w:val="single" w:sz="48" w:space="0" w:color="FFFFFF" w:themeColor="background1"/>
              <w:bottom w:val="single" w:sz="2" w:space="0" w:color="272727"/>
              <w:right w:val="nil"/>
            </w:tcBorders>
          </w:tcPr>
          <w:p w14:paraId="57AF0AA8" w14:textId="7D557F2E" w:rsidR="00254198" w:rsidRPr="00201374" w:rsidRDefault="00254198" w:rsidP="00254198">
            <w:pPr>
              <w:pStyle w:val="TabelleText"/>
              <w:spacing w:before="240"/>
            </w:pPr>
            <w:r w:rsidRPr="00201374">
              <w:t>Wie ist der Prozess zur Verwaltung des kryptografischen Materials dokumentiert?</w:t>
            </w:r>
          </w:p>
          <w:p w14:paraId="75E48E07" w14:textId="4F7EFB07" w:rsidR="00254198" w:rsidRPr="00201374" w:rsidRDefault="00254198" w:rsidP="00254198">
            <w:pPr>
              <w:pStyle w:val="TabelleText"/>
              <w:spacing w:before="240"/>
            </w:pPr>
            <w:r w:rsidRPr="00201374">
              <w:t>Wie wird sichergestellt, dass personalisierte Sicherheitsmerkmale ausschließlich verschlüsselt oder unlesbar verarbeitet werden?</w:t>
            </w:r>
          </w:p>
        </w:tc>
        <w:tc>
          <w:tcPr>
            <w:tcW w:w="985" w:type="pct"/>
            <w:tcBorders>
              <w:top w:val="single" w:sz="2" w:space="0" w:color="272727"/>
              <w:left w:val="single" w:sz="48" w:space="0" w:color="FFFFFF" w:themeColor="background1"/>
              <w:bottom w:val="single" w:sz="2" w:space="0" w:color="272727"/>
              <w:right w:val="nil"/>
            </w:tcBorders>
          </w:tcPr>
          <w:p w14:paraId="73D2526C" w14:textId="53FD0A3C" w:rsidR="00254198" w:rsidRPr="00201374" w:rsidRDefault="00254198" w:rsidP="00254198">
            <w:pPr>
              <w:pStyle w:val="TabelleText"/>
              <w:spacing w:before="240"/>
            </w:pPr>
            <w:r w:rsidRPr="00201374">
              <w:t>Wie ist vertraglich geregelt, dass der Dienstleister den vollständig dokumentierten Prozess zur Verwaltung des kryptografischen Materials bereitstellt?</w:t>
            </w:r>
          </w:p>
          <w:p w14:paraId="2D331CE3" w14:textId="2D7E89D2" w:rsidR="00254198" w:rsidRPr="00201374" w:rsidRDefault="00254198" w:rsidP="00254198">
            <w:pPr>
              <w:pStyle w:val="TabelleText"/>
              <w:spacing w:before="240"/>
            </w:pPr>
            <w:r w:rsidRPr="00201374">
              <w:t>Welche Nachweise liefert der Dienstleister zur Schlüsselverwaltung, insbesondere zu Erzeugung, Rotation, Speicherung und Vernichtung?</w:t>
            </w:r>
          </w:p>
          <w:p w14:paraId="5C29885E" w14:textId="33B20538" w:rsidR="00254198" w:rsidRPr="00201374" w:rsidRDefault="00254198" w:rsidP="00254198">
            <w:pPr>
              <w:pStyle w:val="TabelleText"/>
              <w:spacing w:before="240"/>
            </w:pPr>
            <w:r w:rsidRPr="00201374">
              <w:t>Wie stellt die Bank sicher, dass der Dienstleister keinen Zugriff auf personalisierte Sicherheitsmerkmale im Klartext hat?</w:t>
            </w:r>
          </w:p>
        </w:tc>
      </w:tr>
      <w:tr w:rsidR="00254198" w:rsidRPr="00201374" w14:paraId="0A838A56" w14:textId="77777777" w:rsidTr="00CC665E">
        <w:trPr>
          <w:trHeight w:val="173"/>
        </w:trPr>
        <w:tc>
          <w:tcPr>
            <w:tcW w:w="106" w:type="pct"/>
            <w:tcBorders>
              <w:top w:val="single" w:sz="2" w:space="0" w:color="272727"/>
              <w:left w:val="nil"/>
              <w:bottom w:val="single" w:sz="2" w:space="0" w:color="272727"/>
              <w:right w:val="single" w:sz="48" w:space="0" w:color="FFFFFF" w:themeColor="background1"/>
            </w:tcBorders>
          </w:tcPr>
          <w:p w14:paraId="5D100736" w14:textId="72A4198D" w:rsidR="00254198" w:rsidRPr="00201374" w:rsidRDefault="00254198" w:rsidP="00254198">
            <w:pPr>
              <w:pStyle w:val="TabelleText"/>
              <w:spacing w:before="240"/>
            </w:pPr>
            <w:r>
              <w:t>(4)</w:t>
            </w:r>
          </w:p>
        </w:tc>
        <w:tc>
          <w:tcPr>
            <w:tcW w:w="1532" w:type="pct"/>
            <w:tcBorders>
              <w:top w:val="single" w:sz="2" w:space="0" w:color="272727"/>
              <w:left w:val="nil"/>
              <w:bottom w:val="single" w:sz="2" w:space="0" w:color="272727"/>
              <w:right w:val="single" w:sz="48" w:space="0" w:color="FFFFFF" w:themeColor="background1"/>
            </w:tcBorders>
          </w:tcPr>
          <w:p w14:paraId="06114881" w14:textId="7A287789" w:rsidR="00254198" w:rsidRPr="00201374" w:rsidRDefault="00254198" w:rsidP="00254198">
            <w:pPr>
              <w:pStyle w:val="TabelleText"/>
              <w:spacing w:before="240"/>
            </w:pPr>
            <w:r w:rsidRPr="00201374">
              <w:t>Die Zahlungsdienstleister gewährleisten die Verarbeitung und die Weiterleitung der personalisierten Sicherheitsmerkmale und der gemäß Kapitel II generierten Authentifizierungscodes in sicheren Umgebungen gemäß weithin anerkannten, strengen Branchenstandards.</w:t>
            </w:r>
          </w:p>
        </w:tc>
        <w:tc>
          <w:tcPr>
            <w:tcW w:w="1426" w:type="pct"/>
            <w:tcBorders>
              <w:top w:val="single" w:sz="2" w:space="0" w:color="272727"/>
              <w:left w:val="nil"/>
              <w:bottom w:val="single" w:sz="2" w:space="0" w:color="272727"/>
              <w:right w:val="single" w:sz="48" w:space="0" w:color="FFFFFF" w:themeColor="background1"/>
            </w:tcBorders>
          </w:tcPr>
          <w:p w14:paraId="60172E04" w14:textId="12A7778A" w:rsidR="00254198" w:rsidRPr="00201374" w:rsidRDefault="00254198" w:rsidP="00254198">
            <w:pPr>
              <w:pStyle w:val="TabelleText"/>
              <w:spacing w:before="240"/>
            </w:pPr>
            <w:r w:rsidRPr="00201374">
              <w:t>Anforderung an die sichere Verarbeitung und Übertragung von personalisierten Sicherheitsmerkmalen und Authentifizierungscodes.</w:t>
            </w:r>
          </w:p>
        </w:tc>
        <w:tc>
          <w:tcPr>
            <w:tcW w:w="951" w:type="pct"/>
            <w:tcBorders>
              <w:top w:val="single" w:sz="2" w:space="0" w:color="272727"/>
              <w:left w:val="single" w:sz="48" w:space="0" w:color="FFFFFF" w:themeColor="background1"/>
              <w:bottom w:val="single" w:sz="2" w:space="0" w:color="272727"/>
              <w:right w:val="nil"/>
            </w:tcBorders>
          </w:tcPr>
          <w:p w14:paraId="64B377DA" w14:textId="68F5BD3C" w:rsidR="00254198" w:rsidRPr="00201374" w:rsidRDefault="00254198" w:rsidP="00254198">
            <w:pPr>
              <w:pStyle w:val="TabelleText"/>
              <w:spacing w:before="240"/>
            </w:pPr>
            <w:r w:rsidRPr="00201374">
              <w:t>Wie stellt die Bank sicher, dass personalisierte Sicherheitsmerkmale und Authentifizierungscodes ausschließlich in sicheren Umgebungen verarbeitet und weitergeleitet werden?</w:t>
            </w:r>
          </w:p>
          <w:p w14:paraId="159A4520" w14:textId="36699F95" w:rsidR="00254198" w:rsidRPr="00201374" w:rsidRDefault="00254198" w:rsidP="00254198">
            <w:pPr>
              <w:pStyle w:val="TabelleText"/>
              <w:spacing w:before="240"/>
            </w:pPr>
            <w:r w:rsidRPr="00201374">
              <w:t>Welche Branchenstandards (z. B. ISO 27001, PCI DSS, NIST) werden konkret angewendet und wie wird deren Einhaltung nachgewiesen?</w:t>
            </w:r>
          </w:p>
          <w:p w14:paraId="744D4647" w14:textId="0D1BE97B" w:rsidR="00254198" w:rsidRPr="00201374" w:rsidRDefault="00254198" w:rsidP="00254198">
            <w:pPr>
              <w:pStyle w:val="TabelleText"/>
              <w:spacing w:before="240"/>
            </w:pPr>
            <w:r w:rsidRPr="00201374">
              <w:lastRenderedPageBreak/>
              <w:t>Wie wird verhindert, dass Sicherheitsmerkmale in unsicheren Systemen oder Logs auftauchen?</w:t>
            </w:r>
          </w:p>
        </w:tc>
        <w:tc>
          <w:tcPr>
            <w:tcW w:w="985" w:type="pct"/>
            <w:tcBorders>
              <w:top w:val="single" w:sz="2" w:space="0" w:color="272727"/>
              <w:left w:val="single" w:sz="48" w:space="0" w:color="FFFFFF" w:themeColor="background1"/>
              <w:bottom w:val="single" w:sz="2" w:space="0" w:color="272727"/>
              <w:right w:val="nil"/>
            </w:tcBorders>
          </w:tcPr>
          <w:p w14:paraId="538E05DB" w14:textId="77777777" w:rsidR="00254198" w:rsidRPr="00201374" w:rsidRDefault="00254198" w:rsidP="00254198">
            <w:pPr>
              <w:pStyle w:val="TabelleText"/>
              <w:spacing w:before="240"/>
            </w:pPr>
          </w:p>
        </w:tc>
      </w:tr>
      <w:tr w:rsidR="00254198" w:rsidRPr="00201374" w14:paraId="5319A1CC" w14:textId="77777777" w:rsidTr="00254198">
        <w:trPr>
          <w:trHeight w:val="173"/>
        </w:trPr>
        <w:tc>
          <w:tcPr>
            <w:tcW w:w="5000" w:type="pct"/>
            <w:gridSpan w:val="5"/>
            <w:tcBorders>
              <w:top w:val="single" w:sz="2" w:space="0" w:color="272727"/>
              <w:left w:val="nil"/>
              <w:bottom w:val="single" w:sz="2" w:space="0" w:color="272727"/>
              <w:right w:val="single" w:sz="48" w:space="0" w:color="FFFFFF" w:themeColor="background1"/>
            </w:tcBorders>
          </w:tcPr>
          <w:p w14:paraId="17A5EA49" w14:textId="4AF17C4E" w:rsidR="00254198" w:rsidRPr="00254198" w:rsidRDefault="00254198" w:rsidP="00254198">
            <w:pPr>
              <w:pStyle w:val="TabelleText"/>
              <w:rPr>
                <w:b/>
                <w:bCs/>
              </w:rPr>
            </w:pPr>
            <w:r w:rsidRPr="00254198">
              <w:rPr>
                <w:b/>
                <w:bCs/>
              </w:rPr>
              <w:t>Artikel 23 - Erstellung und Übertragung von Sicherheitsmerkmalen</w:t>
            </w:r>
          </w:p>
        </w:tc>
      </w:tr>
      <w:tr w:rsidR="00254198" w:rsidRPr="00201374" w14:paraId="12ECAFFA" w14:textId="77777777" w:rsidTr="00CC665E">
        <w:trPr>
          <w:trHeight w:val="173"/>
        </w:trPr>
        <w:tc>
          <w:tcPr>
            <w:tcW w:w="1638" w:type="pct"/>
            <w:gridSpan w:val="2"/>
            <w:tcBorders>
              <w:top w:val="single" w:sz="2" w:space="0" w:color="272727"/>
              <w:left w:val="nil"/>
              <w:bottom w:val="single" w:sz="2" w:space="0" w:color="272727"/>
              <w:right w:val="single" w:sz="48" w:space="0" w:color="FFFFFF" w:themeColor="background1"/>
            </w:tcBorders>
          </w:tcPr>
          <w:p w14:paraId="76658549" w14:textId="3E0FD1F5" w:rsidR="00254198" w:rsidRPr="00201374" w:rsidRDefault="00254198" w:rsidP="00CC665E">
            <w:pPr>
              <w:pStyle w:val="TabelleText"/>
              <w:spacing w:before="240"/>
            </w:pPr>
            <w:r w:rsidRPr="00201374">
              <w:t xml:space="preserve">Die Zahlungsdienstleister gewährleisten die Erstellung der personalisierten Sicherheitsmerkmale in einer sicheren Umgebung. </w:t>
            </w:r>
          </w:p>
          <w:p w14:paraId="5DF54351" w14:textId="2FB73B21" w:rsidR="00254198" w:rsidRPr="00201374" w:rsidRDefault="00254198" w:rsidP="00CC665E">
            <w:pPr>
              <w:pStyle w:val="TabelleText"/>
              <w:spacing w:before="240"/>
            </w:pPr>
            <w:r w:rsidRPr="00201374">
              <w:t>Sie sorgen dafür, dass die Risiken einer unbefugten Nutzung der personalisierten Sicherheitsmerkmale sowie der Authentifizierungsgeräte und der Software gemindert werden, sollten die personalisierten Sicherheitsmerkmale vor ihrer Bereitstellung verloren gehen oder gestohlen oder kopiert werden.</w:t>
            </w:r>
          </w:p>
        </w:tc>
        <w:tc>
          <w:tcPr>
            <w:tcW w:w="1426" w:type="pct"/>
            <w:tcBorders>
              <w:top w:val="single" w:sz="2" w:space="0" w:color="272727"/>
              <w:left w:val="nil"/>
              <w:bottom w:val="single" w:sz="2" w:space="0" w:color="272727"/>
              <w:right w:val="single" w:sz="48" w:space="0" w:color="FFFFFF" w:themeColor="background1"/>
            </w:tcBorders>
          </w:tcPr>
          <w:p w14:paraId="252465A6" w14:textId="23643356" w:rsidR="00254198" w:rsidRPr="00201374" w:rsidRDefault="00254198" w:rsidP="00CC665E">
            <w:pPr>
              <w:pStyle w:val="TabelleText"/>
              <w:spacing w:before="240"/>
            </w:pPr>
            <w:r w:rsidRPr="00201374">
              <w:t>Zahlungsdienstleister müssen personalisierte Sicherheitsmerkmale in einer sicheren Umgebung erstellen und sicherstellen, dass Risiken unbefugter Nutzung minimiert werden, falls diese vor Ausgabe verloren gehen, gestohlen oder kopiert werden.</w:t>
            </w:r>
          </w:p>
        </w:tc>
        <w:tc>
          <w:tcPr>
            <w:tcW w:w="951" w:type="pct"/>
            <w:tcBorders>
              <w:top w:val="single" w:sz="2" w:space="0" w:color="272727"/>
              <w:left w:val="single" w:sz="48" w:space="0" w:color="FFFFFF" w:themeColor="background1"/>
              <w:bottom w:val="single" w:sz="2" w:space="0" w:color="272727"/>
              <w:right w:val="nil"/>
            </w:tcBorders>
          </w:tcPr>
          <w:p w14:paraId="139FE444" w14:textId="02D8B8B4" w:rsidR="00254198" w:rsidRPr="00201374" w:rsidRDefault="00254198" w:rsidP="00CC665E">
            <w:pPr>
              <w:pStyle w:val="TabelleText"/>
              <w:spacing w:before="240"/>
            </w:pPr>
            <w:r w:rsidRPr="00201374">
              <w:t>Vgl. die Tipps aus Art. 22 bzgl. der sicheren Umgebung</w:t>
            </w:r>
          </w:p>
          <w:p w14:paraId="7804AD76" w14:textId="77777777" w:rsidR="00254198" w:rsidRPr="00201374" w:rsidRDefault="00254198" w:rsidP="00CC665E">
            <w:pPr>
              <w:pStyle w:val="TabelleText"/>
              <w:spacing w:before="240"/>
            </w:pPr>
            <w:r w:rsidRPr="00201374">
              <w:t xml:space="preserve">Hinweis des BDB: </w:t>
            </w:r>
          </w:p>
          <w:p w14:paraId="447FF8B3" w14:textId="5E935C2B" w:rsidR="00254198" w:rsidRPr="00201374" w:rsidRDefault="00254198" w:rsidP="00CC665E">
            <w:pPr>
              <w:pStyle w:val="TabelleText"/>
              <w:spacing w:before="240"/>
            </w:pPr>
            <w:r w:rsidRPr="00201374">
              <w:t>Die Software einer App wird erst durch die Personalisierung (z. B. durch einen Aktivierungsbrief des Instituts) und der Aktivierung im Online-Banking zu einem Teil der PSC.</w:t>
            </w:r>
          </w:p>
          <w:p w14:paraId="29774A61" w14:textId="5643C745" w:rsidR="00254198" w:rsidRPr="00201374" w:rsidRDefault="00254198" w:rsidP="00CC665E">
            <w:pPr>
              <w:pStyle w:val="TabelleText"/>
              <w:spacing w:before="240"/>
            </w:pPr>
            <w:r w:rsidRPr="00201374">
              <w:t>Überprüfen, ob bspw. Informationen an Kunden existieren, die über die Bedeutung der sicheren Verwahrung ihrer Sicherheitsmerkmale informiert und darüber, dass sie die Bank im Falle eines Verlusts oder Diebstahls unverzüglich benachrichtigen müssen, damit die entsprechenden Dienste gesperrt werden können.</w:t>
            </w:r>
          </w:p>
          <w:p w14:paraId="005C6860" w14:textId="7CBF1E64" w:rsidR="00254198" w:rsidRPr="00201374" w:rsidRDefault="00254198" w:rsidP="00CC665E">
            <w:pPr>
              <w:pStyle w:val="TabelleText"/>
              <w:spacing w:before="240"/>
            </w:pPr>
            <w:r w:rsidRPr="00201374">
              <w:lastRenderedPageBreak/>
              <w:t>Prüfen, wie das Verlustrisiko der Sicherheitsmerkmale oder mitigiert wird. (bspw. persönliche Abholung bei Filialnetz)</w:t>
            </w:r>
          </w:p>
        </w:tc>
        <w:tc>
          <w:tcPr>
            <w:tcW w:w="985" w:type="pct"/>
            <w:tcBorders>
              <w:top w:val="single" w:sz="2" w:space="0" w:color="272727"/>
              <w:left w:val="single" w:sz="48" w:space="0" w:color="FFFFFF" w:themeColor="background1"/>
              <w:bottom w:val="single" w:sz="2" w:space="0" w:color="272727"/>
              <w:right w:val="nil"/>
            </w:tcBorders>
          </w:tcPr>
          <w:p w14:paraId="741CE0E5" w14:textId="77777777" w:rsidR="00254198" w:rsidRPr="00201374" w:rsidRDefault="00254198" w:rsidP="00CC665E">
            <w:pPr>
              <w:pStyle w:val="TabelleText"/>
              <w:spacing w:before="240"/>
            </w:pPr>
          </w:p>
        </w:tc>
      </w:tr>
      <w:tr w:rsidR="00254198" w:rsidRPr="00201374" w14:paraId="39781725" w14:textId="77777777" w:rsidTr="00254198">
        <w:trPr>
          <w:trHeight w:val="173"/>
        </w:trPr>
        <w:tc>
          <w:tcPr>
            <w:tcW w:w="5000" w:type="pct"/>
            <w:gridSpan w:val="5"/>
            <w:tcBorders>
              <w:top w:val="single" w:sz="2" w:space="0" w:color="272727"/>
              <w:left w:val="nil"/>
              <w:bottom w:val="single" w:sz="2" w:space="0" w:color="272727"/>
              <w:right w:val="single" w:sz="48" w:space="0" w:color="FFFFFF" w:themeColor="background1"/>
            </w:tcBorders>
          </w:tcPr>
          <w:p w14:paraId="6E8D3005" w14:textId="2C6C4E7B" w:rsidR="00254198" w:rsidRPr="00254198" w:rsidRDefault="00254198" w:rsidP="00254198">
            <w:pPr>
              <w:pStyle w:val="TabelleText"/>
              <w:rPr>
                <w:b/>
                <w:bCs/>
              </w:rPr>
            </w:pPr>
            <w:r w:rsidRPr="00254198">
              <w:rPr>
                <w:b/>
                <w:bCs/>
              </w:rPr>
              <w:t>Artikel 24 - Identitätsüberprüfung des Zahlungsdienstnutzers</w:t>
            </w:r>
          </w:p>
        </w:tc>
      </w:tr>
      <w:tr w:rsidR="00254198" w:rsidRPr="00201374" w14:paraId="53727260" w14:textId="77777777" w:rsidTr="00CC665E">
        <w:trPr>
          <w:trHeight w:val="173"/>
        </w:trPr>
        <w:tc>
          <w:tcPr>
            <w:tcW w:w="106" w:type="pct"/>
            <w:tcBorders>
              <w:top w:val="single" w:sz="2" w:space="0" w:color="272727"/>
              <w:left w:val="nil"/>
              <w:bottom w:val="single" w:sz="2" w:space="0" w:color="272727"/>
              <w:right w:val="single" w:sz="48" w:space="0" w:color="FFFFFF" w:themeColor="background1"/>
            </w:tcBorders>
          </w:tcPr>
          <w:p w14:paraId="54CE8E0C" w14:textId="72B7823E" w:rsidR="00254198" w:rsidRPr="00201374" w:rsidRDefault="00254198" w:rsidP="00CC665E">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401E8A35" w14:textId="55260D0A" w:rsidR="00254198" w:rsidRPr="00201374" w:rsidRDefault="00254198" w:rsidP="00CC665E">
            <w:pPr>
              <w:pStyle w:val="TabelleText"/>
              <w:spacing w:before="240"/>
            </w:pPr>
            <w:r w:rsidRPr="00201374">
              <w:t xml:space="preserve">Die Zahlungsdienstleister stellen sicher, dass nur der Zahlungsdienstnutzer den personalisierten Sicherheitsmerkmalen, den Authentifizierungsgeräten und der Software zugeordnet ist und dabei Sicherheit gewährleistet ist. </w:t>
            </w:r>
          </w:p>
        </w:tc>
        <w:tc>
          <w:tcPr>
            <w:tcW w:w="1426" w:type="pct"/>
            <w:tcBorders>
              <w:top w:val="single" w:sz="2" w:space="0" w:color="272727"/>
              <w:left w:val="nil"/>
              <w:bottom w:val="single" w:sz="2" w:space="0" w:color="272727"/>
              <w:right w:val="single" w:sz="48" w:space="0" w:color="FFFFFF" w:themeColor="background1"/>
            </w:tcBorders>
          </w:tcPr>
          <w:p w14:paraId="6EA8E346" w14:textId="25BEDB1E" w:rsidR="00254198" w:rsidRPr="00201374" w:rsidRDefault="00254198" w:rsidP="00CC665E">
            <w:pPr>
              <w:pStyle w:val="TabelleText"/>
              <w:spacing w:before="240"/>
            </w:pPr>
            <w:r w:rsidRPr="00201374">
              <w:t>Nur der Nutzer ist sicher seinen Sicherheitsmerkmalen und SKA</w:t>
            </w:r>
            <w:r w:rsidRPr="00201374">
              <w:noBreakHyphen/>
              <w:t>Komponenten zugeordnet.</w:t>
            </w:r>
          </w:p>
        </w:tc>
        <w:tc>
          <w:tcPr>
            <w:tcW w:w="951" w:type="pct"/>
            <w:tcBorders>
              <w:top w:val="single" w:sz="2" w:space="0" w:color="272727"/>
              <w:left w:val="single" w:sz="48" w:space="0" w:color="FFFFFF" w:themeColor="background1"/>
              <w:bottom w:val="single" w:sz="2" w:space="0" w:color="272727"/>
              <w:right w:val="nil"/>
            </w:tcBorders>
          </w:tcPr>
          <w:p w14:paraId="6023F455" w14:textId="4AFDD69E" w:rsidR="00254198" w:rsidRPr="00201374" w:rsidRDefault="00254198" w:rsidP="00CC665E">
            <w:pPr>
              <w:pStyle w:val="TabelleText"/>
              <w:spacing w:before="240"/>
            </w:pPr>
            <w:r w:rsidRPr="00201374">
              <w:t>Ist für die Erstellung eines PSC oder die Bestellung eines Authentifizierungsgeräts der Zugang zum Electronic-Banking Kanal (bspw. Online, Mobile) erforderlich? Dieser Zugang zum Online-Banking sollte aus einer User-ID und eines PIN bestehen, die ausschließlich vom Kunden selbst beantragt werden können.</w:t>
            </w:r>
          </w:p>
        </w:tc>
        <w:tc>
          <w:tcPr>
            <w:tcW w:w="985" w:type="pct"/>
            <w:tcBorders>
              <w:top w:val="single" w:sz="2" w:space="0" w:color="272727"/>
              <w:left w:val="single" w:sz="48" w:space="0" w:color="FFFFFF" w:themeColor="background1"/>
              <w:bottom w:val="single" w:sz="2" w:space="0" w:color="272727"/>
              <w:right w:val="nil"/>
            </w:tcBorders>
          </w:tcPr>
          <w:p w14:paraId="5E613D1D" w14:textId="77777777" w:rsidR="00254198" w:rsidRPr="00201374" w:rsidRDefault="00254198" w:rsidP="00CC665E">
            <w:pPr>
              <w:pStyle w:val="TabelleText"/>
              <w:spacing w:before="240"/>
            </w:pPr>
          </w:p>
        </w:tc>
      </w:tr>
      <w:tr w:rsidR="00254198" w:rsidRPr="00201374" w14:paraId="28EC2881" w14:textId="77777777" w:rsidTr="00CC665E">
        <w:trPr>
          <w:trHeight w:val="173"/>
        </w:trPr>
        <w:tc>
          <w:tcPr>
            <w:tcW w:w="106" w:type="pct"/>
            <w:tcBorders>
              <w:top w:val="single" w:sz="2" w:space="0" w:color="272727"/>
              <w:left w:val="nil"/>
              <w:bottom w:val="single" w:sz="2" w:space="0" w:color="272727"/>
              <w:right w:val="single" w:sz="48" w:space="0" w:color="FFFFFF" w:themeColor="background1"/>
            </w:tcBorders>
          </w:tcPr>
          <w:p w14:paraId="249DD03A" w14:textId="22DE4043" w:rsidR="00254198" w:rsidRPr="00201374" w:rsidRDefault="00CC665E" w:rsidP="00CC665E">
            <w:pPr>
              <w:pStyle w:val="TabelleText"/>
              <w:spacing w:before="240"/>
            </w:pPr>
            <w:r>
              <w:t>(2)</w:t>
            </w:r>
          </w:p>
        </w:tc>
        <w:tc>
          <w:tcPr>
            <w:tcW w:w="1532" w:type="pct"/>
            <w:tcBorders>
              <w:top w:val="single" w:sz="2" w:space="0" w:color="272727"/>
              <w:left w:val="nil"/>
              <w:bottom w:val="single" w:sz="2" w:space="0" w:color="272727"/>
              <w:right w:val="single" w:sz="48" w:space="0" w:color="FFFFFF" w:themeColor="background1"/>
            </w:tcBorders>
          </w:tcPr>
          <w:p w14:paraId="660F4926" w14:textId="2FCF1805" w:rsidR="00254198" w:rsidRPr="00201374" w:rsidRDefault="00254198" w:rsidP="00CC665E">
            <w:pPr>
              <w:pStyle w:val="TabelleText"/>
              <w:spacing w:before="240"/>
            </w:pPr>
            <w:r w:rsidRPr="00201374">
              <w:t xml:space="preserve">Für die Zwecke des Abs. 1 stellen die Zahlungsdienstleister sicher, dass alle folgenden Anforderungen erfüllt sind: </w:t>
            </w:r>
          </w:p>
          <w:p w14:paraId="161B3C94" w14:textId="65714EF7" w:rsidR="00254198" w:rsidRPr="00201374" w:rsidRDefault="00254198" w:rsidP="00CC665E">
            <w:pPr>
              <w:pStyle w:val="TabelleText"/>
              <w:spacing w:before="240"/>
            </w:pPr>
            <w:r w:rsidRPr="00201374">
              <w:t xml:space="preserve">a) Die Identitätsüberprüfung des Zahlungsdienstnutzers mithilfe von personalisierten Sicherheitsmerkmalen, Authentifizierungsgeräten und Software findet in sicheren Umgebungen statt, die in den Verantwortungsbereich des Zahlungsdienstleisters fallen und zumindest die Geschäftsräume des Zahlungsdienstleisters, die von diesem bereitgestellte </w:t>
            </w:r>
            <w:r w:rsidRPr="00201374">
              <w:lastRenderedPageBreak/>
              <w:t>Internetumgebung oder ähnliche sichere Websites, die vom Zahlungsdienstleister und seinen Geldautomatendiensten verwendet werden, umfassen, und trägt den Risiken Rechnung, die mit den bei diesem Prozess verwendeten Geräten und zugrunde liegenden Komponenten, die sich der Verantwortung des Zahlungsdienstleisters entziehen, verbunden sind.</w:t>
            </w:r>
          </w:p>
          <w:p w14:paraId="67374928" w14:textId="46EF53CA" w:rsidR="00254198" w:rsidRPr="00201374" w:rsidRDefault="00254198" w:rsidP="00CC665E">
            <w:pPr>
              <w:pStyle w:val="TabelleText"/>
              <w:spacing w:before="240"/>
            </w:pPr>
            <w:r w:rsidRPr="00201374">
              <w:t>b) Bei der Identitätsüberprüfung des Zahlungsdienstnutzers mithilfe von personalisierten Sicherheitsmerkmalen sowie Authentifizierungsgeräten oder Software über einen Fernzugang wird eine starke Kundenauthentifizierung vorgenommen.</w:t>
            </w:r>
          </w:p>
        </w:tc>
        <w:tc>
          <w:tcPr>
            <w:tcW w:w="1426" w:type="pct"/>
            <w:tcBorders>
              <w:top w:val="single" w:sz="2" w:space="0" w:color="272727"/>
              <w:left w:val="nil"/>
              <w:bottom w:val="single" w:sz="2" w:space="0" w:color="272727"/>
              <w:right w:val="single" w:sz="48" w:space="0" w:color="FFFFFF" w:themeColor="background1"/>
            </w:tcBorders>
          </w:tcPr>
          <w:p w14:paraId="4EFE640A" w14:textId="56E104BE" w:rsidR="00254198" w:rsidRPr="00201374" w:rsidRDefault="00254198" w:rsidP="00CC665E">
            <w:pPr>
              <w:pStyle w:val="TabelleText"/>
              <w:spacing w:before="240"/>
            </w:pPr>
            <w:r w:rsidRPr="00201374">
              <w:lastRenderedPageBreak/>
              <w:t>Konkretisierung der Anforderungen für die Zwecke des Abs. 1.</w:t>
            </w:r>
          </w:p>
        </w:tc>
        <w:tc>
          <w:tcPr>
            <w:tcW w:w="951" w:type="pct"/>
            <w:tcBorders>
              <w:top w:val="single" w:sz="2" w:space="0" w:color="272727"/>
              <w:left w:val="single" w:sz="48" w:space="0" w:color="FFFFFF" w:themeColor="background1"/>
              <w:bottom w:val="single" w:sz="2" w:space="0" w:color="272727"/>
              <w:right w:val="nil"/>
            </w:tcBorders>
          </w:tcPr>
          <w:p w14:paraId="70C1194C" w14:textId="36D9340F" w:rsidR="00254198" w:rsidRPr="00201374" w:rsidRDefault="00254198" w:rsidP="00CC665E">
            <w:pPr>
              <w:pStyle w:val="TabelleText"/>
              <w:spacing w:before="240"/>
            </w:pPr>
            <w:r w:rsidRPr="00201374">
              <w:t>Stellt die Bank eine sichere Umgebung bereit, bspw. für das Online-Banking über eine SSL/TLS</w:t>
            </w:r>
            <w:r w:rsidRPr="00201374">
              <w:noBreakHyphen/>
              <w:t>Absicherung (https)?</w:t>
            </w:r>
          </w:p>
          <w:p w14:paraId="1050ABAD" w14:textId="45AEFEC9" w:rsidR="00254198" w:rsidRPr="00201374" w:rsidRDefault="00254198" w:rsidP="00CC665E">
            <w:pPr>
              <w:pStyle w:val="TabelleText"/>
              <w:spacing w:before="240"/>
            </w:pPr>
            <w:r w:rsidRPr="00201374">
              <w:t>Können die Mobile-Banking-Apps ausschließlich aus den offiziellen App-Stores von Apple und Google heruntergeladen werden?</w:t>
            </w:r>
          </w:p>
        </w:tc>
        <w:tc>
          <w:tcPr>
            <w:tcW w:w="985" w:type="pct"/>
            <w:tcBorders>
              <w:top w:val="single" w:sz="2" w:space="0" w:color="272727"/>
              <w:left w:val="single" w:sz="48" w:space="0" w:color="FFFFFF" w:themeColor="background1"/>
              <w:bottom w:val="single" w:sz="2" w:space="0" w:color="272727"/>
              <w:right w:val="nil"/>
            </w:tcBorders>
          </w:tcPr>
          <w:p w14:paraId="01D6CFBD" w14:textId="77777777" w:rsidR="00254198" w:rsidRPr="00201374" w:rsidRDefault="00254198" w:rsidP="00CC665E">
            <w:pPr>
              <w:pStyle w:val="TabelleText"/>
              <w:spacing w:before="240"/>
            </w:pPr>
          </w:p>
        </w:tc>
      </w:tr>
      <w:tr w:rsidR="00CC665E" w:rsidRPr="00201374" w14:paraId="7055109E" w14:textId="77777777" w:rsidTr="00CC665E">
        <w:trPr>
          <w:trHeight w:val="173"/>
        </w:trPr>
        <w:tc>
          <w:tcPr>
            <w:tcW w:w="5000" w:type="pct"/>
            <w:gridSpan w:val="5"/>
            <w:tcBorders>
              <w:top w:val="single" w:sz="2" w:space="0" w:color="272727"/>
              <w:left w:val="nil"/>
              <w:bottom w:val="single" w:sz="2" w:space="0" w:color="272727"/>
              <w:right w:val="single" w:sz="48" w:space="0" w:color="FFFFFF" w:themeColor="background1"/>
            </w:tcBorders>
          </w:tcPr>
          <w:p w14:paraId="0E4E63BD" w14:textId="5549F6B8" w:rsidR="00CC665E" w:rsidRPr="00CC665E" w:rsidRDefault="00CC665E" w:rsidP="00254198">
            <w:pPr>
              <w:pStyle w:val="TabelleText"/>
              <w:rPr>
                <w:b/>
                <w:bCs/>
              </w:rPr>
            </w:pPr>
            <w:r w:rsidRPr="00CC665E">
              <w:rPr>
                <w:b/>
                <w:bCs/>
              </w:rPr>
              <w:t>Artikel 25 Bereitstellung von Sicherheitsmerkmalen, Authentifizierungsgeräten und Software</w:t>
            </w:r>
          </w:p>
        </w:tc>
      </w:tr>
      <w:tr w:rsidR="00254198" w:rsidRPr="00201374" w14:paraId="715EA33A" w14:textId="77777777" w:rsidTr="00CC665E">
        <w:trPr>
          <w:trHeight w:val="173"/>
        </w:trPr>
        <w:tc>
          <w:tcPr>
            <w:tcW w:w="106" w:type="pct"/>
            <w:tcBorders>
              <w:top w:val="single" w:sz="2" w:space="0" w:color="272727"/>
              <w:left w:val="nil"/>
              <w:bottom w:val="single" w:sz="2" w:space="0" w:color="272727"/>
              <w:right w:val="single" w:sz="48" w:space="0" w:color="FFFFFF" w:themeColor="background1"/>
            </w:tcBorders>
          </w:tcPr>
          <w:p w14:paraId="46B57837" w14:textId="2CB140EB" w:rsidR="00254198" w:rsidRPr="00201374" w:rsidRDefault="00CC665E" w:rsidP="00CC665E">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34C48C91" w14:textId="7CA804A3" w:rsidR="00254198" w:rsidRPr="00201374" w:rsidRDefault="00254198" w:rsidP="00CC665E">
            <w:pPr>
              <w:pStyle w:val="TabelleText"/>
              <w:spacing w:before="240"/>
            </w:pPr>
            <w:r w:rsidRPr="00201374">
              <w:t xml:space="preserve">Die Zahlungsdienstleister gewährleisten, dass die Bereitstellung der personalisierten Sicherheitsmerkmale, der Authentifizierungsgeräte und der Software an den Zahlungsdienstnutzer auf sichere Weise erfolgt, um dem Risiko ihrer unbefugten Verwendung bei Verlust, Diebstahl oder Kopie Rechnung zu tragen. </w:t>
            </w:r>
          </w:p>
        </w:tc>
        <w:tc>
          <w:tcPr>
            <w:tcW w:w="1426" w:type="pct"/>
            <w:tcBorders>
              <w:top w:val="single" w:sz="2" w:space="0" w:color="272727"/>
              <w:left w:val="nil"/>
              <w:bottom w:val="single" w:sz="2" w:space="0" w:color="272727"/>
              <w:right w:val="single" w:sz="48" w:space="0" w:color="FFFFFF" w:themeColor="background1"/>
            </w:tcBorders>
          </w:tcPr>
          <w:p w14:paraId="73516C77" w14:textId="164A58B8" w:rsidR="00254198" w:rsidRPr="00201374" w:rsidRDefault="00254198" w:rsidP="00CC665E">
            <w:pPr>
              <w:pStyle w:val="TabelleText"/>
              <w:spacing w:before="240"/>
            </w:pPr>
            <w:r w:rsidRPr="00201374">
              <w:t>Anforderung an die Implementierung von Maßnahmen für die sichere Zustellung personalisierter Sicherheitsmerkmale, Authentifizierungsgeräte und Software an den Kunden.</w:t>
            </w:r>
          </w:p>
        </w:tc>
        <w:tc>
          <w:tcPr>
            <w:tcW w:w="951" w:type="pct"/>
            <w:tcBorders>
              <w:top w:val="single" w:sz="2" w:space="0" w:color="272727"/>
              <w:left w:val="single" w:sz="48" w:space="0" w:color="FFFFFF" w:themeColor="background1"/>
              <w:bottom w:val="single" w:sz="2" w:space="0" w:color="272727"/>
              <w:right w:val="nil"/>
            </w:tcBorders>
          </w:tcPr>
          <w:p w14:paraId="3D68F117" w14:textId="2EE3626F" w:rsidR="00254198" w:rsidRPr="00201374" w:rsidRDefault="00CC665E" w:rsidP="00CC665E">
            <w:pPr>
              <w:pStyle w:val="TabelleText"/>
              <w:spacing w:before="240"/>
            </w:pPr>
            <w:r>
              <w:t>I</w:t>
            </w:r>
            <w:r w:rsidR="00254198" w:rsidRPr="00201374">
              <w:t>st die Mobile-Banking-App ausschließlich über die offiziellen App-Stores von Apple und Android herunterladbar?</w:t>
            </w:r>
          </w:p>
          <w:p w14:paraId="5A35CBE0" w14:textId="6DAE4D03" w:rsidR="00254198" w:rsidRPr="00201374" w:rsidRDefault="00254198" w:rsidP="00CC665E">
            <w:pPr>
              <w:pStyle w:val="TabelleText"/>
              <w:spacing w:before="240"/>
            </w:pPr>
            <w:r w:rsidRPr="00201374">
              <w:t>Ist der Zugriff auf das Online-Banking im Webbrowser ausschließlich über eine „https:“-Adresse möglich?</w:t>
            </w:r>
          </w:p>
          <w:p w14:paraId="5F5C8CBD" w14:textId="52CD53CA" w:rsidR="00254198" w:rsidRPr="00201374" w:rsidRDefault="00254198" w:rsidP="00CC665E">
            <w:pPr>
              <w:pStyle w:val="TabelleText"/>
              <w:spacing w:before="240"/>
            </w:pPr>
            <w:r w:rsidRPr="00201374">
              <w:t xml:space="preserve">Wird die SKA ausschließlich innerhalb der gesicherten Electronic-Banking-Umgebung erstellt? Voraussetzung hierfür sind die User-ID sowie die zugehörige </w:t>
            </w:r>
            <w:r w:rsidRPr="00201374">
              <w:lastRenderedPageBreak/>
              <w:t>PIN, die ausschließlich dem Kunden bekannt sind.</w:t>
            </w:r>
          </w:p>
          <w:p w14:paraId="7C9004E6" w14:textId="77777777" w:rsidR="00254198" w:rsidRPr="00201374" w:rsidRDefault="00254198" w:rsidP="00CC665E">
            <w:pPr>
              <w:pStyle w:val="TabelleText"/>
              <w:spacing w:before="240"/>
            </w:pPr>
            <w:r w:rsidRPr="00201374">
              <w:t>Werden Authentifizierungsgeräte inaktiv an den Kunden gegeben und müssen bspw. über das Online-Banking aktiviert werden?</w:t>
            </w:r>
          </w:p>
          <w:p w14:paraId="237DDEC6" w14:textId="77777777" w:rsidR="00254198" w:rsidRPr="00201374" w:rsidRDefault="00254198" w:rsidP="00CC665E">
            <w:pPr>
              <w:pStyle w:val="TabelleText"/>
              <w:spacing w:before="240"/>
            </w:pPr>
            <w:r w:rsidRPr="00201374">
              <w:t>Kann der Login des jeweiligen Kunden in die Mobile-Banking-App oder das Online-Banking ausschließlich über die User-ID und die zugehörige PIN erfolgen, die ausschließlich dem Kunden selbst bekannt sind?</w:t>
            </w:r>
          </w:p>
          <w:p w14:paraId="33BB3145" w14:textId="77777777" w:rsidR="00254198" w:rsidRPr="00201374" w:rsidRDefault="00254198" w:rsidP="00CC665E">
            <w:pPr>
              <w:pStyle w:val="TabelleText"/>
              <w:spacing w:before="240"/>
            </w:pPr>
            <w:r w:rsidRPr="00201374">
              <w:t>Ist es für unbefugte Dritte möglich, mehr als ein Sicherheitsmerkmal zu erlangen? Hierzu kann der Aktivierungsprozess der jeweiligen Komponenten geprüft werden.</w:t>
            </w:r>
          </w:p>
          <w:p w14:paraId="40A98412" w14:textId="2A145536" w:rsidR="00254198" w:rsidRPr="00201374" w:rsidRDefault="00254198" w:rsidP="00CC665E">
            <w:pPr>
              <w:pStyle w:val="TabelleText"/>
              <w:spacing w:before="240"/>
            </w:pPr>
            <w:r w:rsidRPr="00201374">
              <w:t xml:space="preserve">Ein Beispiel: Sollte eine unbefugte Person das PhotoTAN-Gerät entwenden und versuchen, betrügerische Aktivitäten durchzuführen, wäre dies nicht erfolgreich, da das Gerät inaktiv ist. Eine Aktivierung ist nur </w:t>
            </w:r>
            <w:r w:rsidRPr="00201374">
              <w:lastRenderedPageBreak/>
              <w:t>durch die Bestellung einer spezifischen Registrierungs-PIN über das Online-Banking möglich – wofür wiederum die Online-Banking-PIN erforderlich ist, die nur der Kunde kennt.</w:t>
            </w:r>
          </w:p>
          <w:p w14:paraId="423C7969" w14:textId="77777777" w:rsidR="00254198" w:rsidRPr="00201374" w:rsidRDefault="00254198" w:rsidP="00CC665E">
            <w:pPr>
              <w:pStyle w:val="TabelleText"/>
              <w:spacing w:before="240"/>
            </w:pPr>
            <w:r w:rsidRPr="00201374">
              <w:t xml:space="preserve">Gibt es für die Aktivierung der Authentifizierungsgeräte spezifische Schritte inklusive Medienbrüche damit die Risiken reduziert werden? Beispielsweise: </w:t>
            </w:r>
          </w:p>
          <w:p w14:paraId="1FE77E34" w14:textId="77777777" w:rsidR="00254198" w:rsidRPr="00201374" w:rsidRDefault="00254198" w:rsidP="00CC665E">
            <w:pPr>
              <w:pStyle w:val="TabelleText"/>
              <w:spacing w:before="240"/>
            </w:pPr>
            <w:r w:rsidRPr="00201374">
              <w:t>a) inaktives Gerät in der Filiale abholen.</w:t>
            </w:r>
          </w:p>
          <w:p w14:paraId="7791E792" w14:textId="77777777" w:rsidR="00254198" w:rsidRPr="00201374" w:rsidRDefault="00254198" w:rsidP="00CC665E">
            <w:pPr>
              <w:pStyle w:val="TabelleText"/>
              <w:spacing w:before="240"/>
            </w:pPr>
            <w:r w:rsidRPr="00201374">
              <w:t>b) Registrierungscode der ausschließlich per physischem Brief an die beim Kunden hinterlegte Adresse versendet wird.</w:t>
            </w:r>
          </w:p>
          <w:p w14:paraId="15BB109D" w14:textId="6915B083" w:rsidR="00254198" w:rsidRPr="00201374" w:rsidRDefault="00254198" w:rsidP="00CC665E">
            <w:pPr>
              <w:pStyle w:val="TabelleText"/>
              <w:spacing w:before="240"/>
            </w:pPr>
            <w:r w:rsidRPr="00201374">
              <w:t>c) Eingabe des Registrierungscodes im Online-Banking-Konto des Kunden; erst nach dieser Bestätigung kann das Authentifizierungsgerät verwendet werden.</w:t>
            </w:r>
          </w:p>
        </w:tc>
        <w:tc>
          <w:tcPr>
            <w:tcW w:w="985" w:type="pct"/>
            <w:tcBorders>
              <w:top w:val="single" w:sz="2" w:space="0" w:color="272727"/>
              <w:left w:val="single" w:sz="48" w:space="0" w:color="FFFFFF" w:themeColor="background1"/>
              <w:bottom w:val="single" w:sz="2" w:space="0" w:color="272727"/>
              <w:right w:val="nil"/>
            </w:tcBorders>
          </w:tcPr>
          <w:p w14:paraId="4479026B" w14:textId="77777777" w:rsidR="00254198" w:rsidRPr="00201374" w:rsidRDefault="00254198" w:rsidP="00CC665E">
            <w:pPr>
              <w:pStyle w:val="TabelleText"/>
              <w:spacing w:before="240"/>
            </w:pPr>
          </w:p>
        </w:tc>
      </w:tr>
      <w:tr w:rsidR="00254198" w:rsidRPr="00201374" w14:paraId="4017B374" w14:textId="77777777" w:rsidTr="00CC665E">
        <w:trPr>
          <w:trHeight w:val="173"/>
        </w:trPr>
        <w:tc>
          <w:tcPr>
            <w:tcW w:w="106" w:type="pct"/>
            <w:tcBorders>
              <w:top w:val="single" w:sz="2" w:space="0" w:color="272727"/>
              <w:left w:val="nil"/>
              <w:bottom w:val="single" w:sz="2" w:space="0" w:color="272727"/>
              <w:right w:val="single" w:sz="48" w:space="0" w:color="FFFFFF" w:themeColor="background1"/>
            </w:tcBorders>
          </w:tcPr>
          <w:p w14:paraId="1927BEE7" w14:textId="2BABA227" w:rsidR="00254198" w:rsidRPr="00201374" w:rsidRDefault="00CC665E" w:rsidP="00CC665E">
            <w:pPr>
              <w:pStyle w:val="TabelleText"/>
              <w:spacing w:before="240"/>
            </w:pPr>
            <w:r>
              <w:lastRenderedPageBreak/>
              <w:t>(2)</w:t>
            </w:r>
          </w:p>
        </w:tc>
        <w:tc>
          <w:tcPr>
            <w:tcW w:w="1532" w:type="pct"/>
            <w:tcBorders>
              <w:top w:val="single" w:sz="2" w:space="0" w:color="272727"/>
              <w:left w:val="nil"/>
              <w:bottom w:val="single" w:sz="2" w:space="0" w:color="272727"/>
              <w:right w:val="single" w:sz="48" w:space="0" w:color="FFFFFF" w:themeColor="background1"/>
            </w:tcBorders>
          </w:tcPr>
          <w:p w14:paraId="1FC26D17" w14:textId="77777777" w:rsidR="00254198" w:rsidRPr="00201374" w:rsidRDefault="00254198" w:rsidP="00CC665E">
            <w:pPr>
              <w:pStyle w:val="TabelleText"/>
              <w:spacing w:before="240"/>
            </w:pPr>
            <w:r w:rsidRPr="00201374">
              <w:t xml:space="preserve">Für die Zwecke des Abs. 1 wenden die Zahlungsdienstleister zumindest alle folgenden Maßnahmen an: </w:t>
            </w:r>
          </w:p>
          <w:p w14:paraId="40D92FDB" w14:textId="2008CB45" w:rsidR="00254198" w:rsidRPr="00201374" w:rsidRDefault="00254198" w:rsidP="00CC665E">
            <w:pPr>
              <w:pStyle w:val="TabelleText"/>
              <w:spacing w:before="240"/>
            </w:pPr>
            <w:r w:rsidRPr="00201374">
              <w:t>a) wirksame und sichere Bereitstellungsmechanismen, durch die sichergestellt ist, dass die personalisierten Sicherheitsmerkmale, die Authentifizierungsgeräte und die Software für den rechtmäßigen Zahlungsdienstnutzer bereitgestellt werden;</w:t>
            </w:r>
          </w:p>
          <w:p w14:paraId="16C26005" w14:textId="00217EC4" w:rsidR="00254198" w:rsidRPr="00201374" w:rsidRDefault="00254198" w:rsidP="00CC665E">
            <w:pPr>
              <w:pStyle w:val="TabelleText"/>
              <w:spacing w:before="240"/>
            </w:pPr>
            <w:r w:rsidRPr="00201374">
              <w:t xml:space="preserve">b) Mechanismen, mit denen der Zahlungsdienstleister die Authentizität der über das Internet für den Zahlungsdienstnutzer bereitgestellten Authentifizierungssoftware verifizieren kann; </w:t>
            </w:r>
          </w:p>
          <w:p w14:paraId="39EA59BD" w14:textId="77777777" w:rsidR="00254198" w:rsidRPr="00201374" w:rsidRDefault="00254198" w:rsidP="00CC665E">
            <w:pPr>
              <w:pStyle w:val="TabelleText"/>
              <w:spacing w:before="240"/>
            </w:pPr>
            <w:r w:rsidRPr="00201374">
              <w:t xml:space="preserve">c) Vorkehrungen, die bei Bereitstellung der personalisierten Sicherheitsmerkmale außerhalb der Geschäftsräume des Zahlungsdienstleisters oder über einen Fernzugang Folgendes gewährleisten: </w:t>
            </w:r>
          </w:p>
          <w:p w14:paraId="75EAE45B" w14:textId="77777777" w:rsidR="00254198" w:rsidRPr="00201374" w:rsidRDefault="00254198" w:rsidP="00CC665E">
            <w:pPr>
              <w:pStyle w:val="TabelleText"/>
              <w:spacing w:before="240"/>
            </w:pPr>
            <w:r w:rsidRPr="00201374">
              <w:t xml:space="preserve">i) ein Unbefugter kann nicht mehr als ein Merkmal der personalisierten Sicherheitsmerkmale, der Authentifizierungsgeräte oder der Software erlangen, wenn diese auf demselben Weg bereitgestellt werden; </w:t>
            </w:r>
          </w:p>
          <w:p w14:paraId="0110B59D" w14:textId="77777777" w:rsidR="00254198" w:rsidRPr="00201374" w:rsidRDefault="00254198" w:rsidP="00CC665E">
            <w:pPr>
              <w:pStyle w:val="TabelleText"/>
              <w:spacing w:before="240"/>
            </w:pPr>
            <w:r w:rsidRPr="00201374">
              <w:t xml:space="preserve">ii) die personalisierten Sicherheitsmerkmale, die Authentifizierungsgeräte oder die Software müssen vor der Nutzung aktiviert werden; </w:t>
            </w:r>
          </w:p>
          <w:p w14:paraId="3D14FCC5" w14:textId="0C6AD409" w:rsidR="00254198" w:rsidRPr="00201374" w:rsidRDefault="00254198" w:rsidP="00CC665E">
            <w:pPr>
              <w:pStyle w:val="TabelleText"/>
              <w:spacing w:before="240"/>
            </w:pPr>
            <w:r w:rsidRPr="00201374">
              <w:lastRenderedPageBreak/>
              <w:t>d) Vorkehrungen, die gewährleisten, dass im Falle einer Aktivierung der personalisierten Sicherheitsmerkmale, der Authentifizierungsgeräte oder der Software vor der erstmaligen Verwendung die Aktivierung in einer sicheren Umgebung im Einklang mit der in Art. 24 beschriebenen Identitätsüberprüfung stattfindet.</w:t>
            </w:r>
          </w:p>
        </w:tc>
        <w:tc>
          <w:tcPr>
            <w:tcW w:w="1426" w:type="pct"/>
            <w:tcBorders>
              <w:top w:val="single" w:sz="2" w:space="0" w:color="272727"/>
              <w:left w:val="nil"/>
              <w:bottom w:val="single" w:sz="2" w:space="0" w:color="272727"/>
              <w:right w:val="single" w:sz="48" w:space="0" w:color="FFFFFF" w:themeColor="background1"/>
            </w:tcBorders>
          </w:tcPr>
          <w:p w14:paraId="6931F6CB" w14:textId="02B68865" w:rsidR="00254198" w:rsidRPr="00201374" w:rsidRDefault="00254198" w:rsidP="00CC665E">
            <w:pPr>
              <w:pStyle w:val="TabelleText"/>
              <w:spacing w:before="240"/>
            </w:pPr>
            <w:r w:rsidRPr="00201374">
              <w:lastRenderedPageBreak/>
              <w:t>Konkretisierung der Maßnahmen für die Zwecke des Abs. 1.</w:t>
            </w:r>
          </w:p>
        </w:tc>
        <w:tc>
          <w:tcPr>
            <w:tcW w:w="951" w:type="pct"/>
            <w:tcBorders>
              <w:top w:val="single" w:sz="2" w:space="0" w:color="272727"/>
              <w:left w:val="single" w:sz="48" w:space="0" w:color="FFFFFF" w:themeColor="background1"/>
              <w:bottom w:val="single" w:sz="2" w:space="0" w:color="272727"/>
              <w:right w:val="nil"/>
            </w:tcBorders>
          </w:tcPr>
          <w:p w14:paraId="3CD5B2CC" w14:textId="7205E549" w:rsidR="00254198" w:rsidRPr="00201374" w:rsidRDefault="00254198" w:rsidP="00CC665E">
            <w:pPr>
              <w:pStyle w:val="TabelleText"/>
              <w:spacing w:before="240"/>
            </w:pPr>
            <w:r w:rsidRPr="00201374">
              <w:t>Prüfung auf Vorhandensein sowie Angemessenheit und Wirksamkeit der angeforderten Maßnahmen.</w:t>
            </w:r>
          </w:p>
        </w:tc>
        <w:tc>
          <w:tcPr>
            <w:tcW w:w="985" w:type="pct"/>
            <w:tcBorders>
              <w:top w:val="single" w:sz="2" w:space="0" w:color="272727"/>
              <w:left w:val="single" w:sz="48" w:space="0" w:color="FFFFFF" w:themeColor="background1"/>
              <w:bottom w:val="single" w:sz="2" w:space="0" w:color="272727"/>
              <w:right w:val="nil"/>
            </w:tcBorders>
          </w:tcPr>
          <w:p w14:paraId="6D3908E9" w14:textId="77777777" w:rsidR="00254198" w:rsidRPr="00201374" w:rsidRDefault="00254198" w:rsidP="00CC665E">
            <w:pPr>
              <w:pStyle w:val="TabelleText"/>
              <w:spacing w:before="240"/>
            </w:pPr>
          </w:p>
        </w:tc>
      </w:tr>
      <w:tr w:rsidR="00CC665E" w:rsidRPr="00201374" w14:paraId="7144756F" w14:textId="77777777" w:rsidTr="00CC665E">
        <w:trPr>
          <w:trHeight w:val="173"/>
        </w:trPr>
        <w:tc>
          <w:tcPr>
            <w:tcW w:w="5000" w:type="pct"/>
            <w:gridSpan w:val="5"/>
            <w:tcBorders>
              <w:top w:val="single" w:sz="2" w:space="0" w:color="272727"/>
              <w:left w:val="nil"/>
              <w:bottom w:val="single" w:sz="2" w:space="0" w:color="272727"/>
              <w:right w:val="single" w:sz="48" w:space="0" w:color="FFFFFF" w:themeColor="background1"/>
            </w:tcBorders>
          </w:tcPr>
          <w:p w14:paraId="0B52599C" w14:textId="24D36E66" w:rsidR="00CC665E" w:rsidRPr="00CC665E" w:rsidRDefault="00CC665E" w:rsidP="00254198">
            <w:pPr>
              <w:pStyle w:val="TabelleText"/>
              <w:rPr>
                <w:b/>
                <w:bCs/>
              </w:rPr>
            </w:pPr>
            <w:r w:rsidRPr="00CC665E">
              <w:rPr>
                <w:b/>
                <w:bCs/>
              </w:rPr>
              <w:t>Artikel 26 - Verlängerung der personalisierten Sicherheitsmerkmale</w:t>
            </w:r>
          </w:p>
        </w:tc>
      </w:tr>
      <w:tr w:rsidR="00254198" w:rsidRPr="00201374" w14:paraId="3F75907A" w14:textId="77777777" w:rsidTr="00CC665E">
        <w:trPr>
          <w:trHeight w:val="173"/>
        </w:trPr>
        <w:tc>
          <w:tcPr>
            <w:tcW w:w="106" w:type="pct"/>
            <w:tcBorders>
              <w:top w:val="single" w:sz="2" w:space="0" w:color="272727"/>
              <w:left w:val="nil"/>
              <w:bottom w:val="single" w:sz="2" w:space="0" w:color="272727"/>
              <w:right w:val="single" w:sz="48" w:space="0" w:color="FFFFFF" w:themeColor="background1"/>
            </w:tcBorders>
          </w:tcPr>
          <w:p w14:paraId="635806D2" w14:textId="70A1F8A5" w:rsidR="00254198" w:rsidRPr="00201374" w:rsidRDefault="00CC665E" w:rsidP="00CC665E">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7CD8B23E" w14:textId="2B9826FB" w:rsidR="00254198" w:rsidRPr="00201374" w:rsidRDefault="00254198" w:rsidP="00CC665E">
            <w:pPr>
              <w:pStyle w:val="TabelleText"/>
              <w:spacing w:before="240"/>
            </w:pPr>
            <w:r w:rsidRPr="00201374">
              <w:t>Die Zahlungsdienstleister gewährleisten, dass die Verlängerung oder die erneute Aktivierung der personalisierten Sicherheitsmerkmale gemäß den Verfahren für die in den Artikeln 23, 24 und 25 beschriebene Erstellung, Verknüpfung und Bereitstellung der Sicherheitsmerkmale und der Authentifizierungsgeräte vorgenommen wird.</w:t>
            </w:r>
          </w:p>
        </w:tc>
        <w:tc>
          <w:tcPr>
            <w:tcW w:w="1426" w:type="pct"/>
            <w:tcBorders>
              <w:top w:val="single" w:sz="2" w:space="0" w:color="272727"/>
              <w:left w:val="nil"/>
              <w:bottom w:val="single" w:sz="2" w:space="0" w:color="272727"/>
              <w:right w:val="single" w:sz="48" w:space="0" w:color="FFFFFF" w:themeColor="background1"/>
            </w:tcBorders>
          </w:tcPr>
          <w:p w14:paraId="203AF508" w14:textId="5D6C4415" w:rsidR="00254198" w:rsidRPr="00201374" w:rsidRDefault="00254198" w:rsidP="00CC665E">
            <w:pPr>
              <w:pStyle w:val="TabelleText"/>
              <w:spacing w:before="240"/>
            </w:pPr>
            <w:r w:rsidRPr="00201374">
              <w:t>Die Verlängerung/Reaktivierung erfolgt nach denselben sicheren Verfahren wie Erstellung und Zuordnung der Sicherheitsmerkmale.</w:t>
            </w:r>
          </w:p>
        </w:tc>
        <w:tc>
          <w:tcPr>
            <w:tcW w:w="951" w:type="pct"/>
            <w:tcBorders>
              <w:top w:val="single" w:sz="2" w:space="0" w:color="272727"/>
              <w:left w:val="single" w:sz="48" w:space="0" w:color="FFFFFF" w:themeColor="background1"/>
              <w:bottom w:val="single" w:sz="2" w:space="0" w:color="272727"/>
              <w:right w:val="nil"/>
            </w:tcBorders>
          </w:tcPr>
          <w:p w14:paraId="5511C7D9" w14:textId="77777777" w:rsidR="00254198" w:rsidRPr="00201374" w:rsidRDefault="00254198" w:rsidP="00CC665E">
            <w:pPr>
              <w:pStyle w:val="TabelleText"/>
              <w:spacing w:before="240"/>
            </w:pPr>
            <w:r w:rsidRPr="00201374">
              <w:t xml:space="preserve">Funktioniert der Verlängerungsprozess wie der Initialisierungsprozess? </w:t>
            </w:r>
            <w:r w:rsidRPr="00201374">
              <w:sym w:font="Wingdings" w:char="F0E0"/>
            </w:r>
            <w:r w:rsidRPr="00201374">
              <w:t xml:space="preserve"> In dem Fall können die Punkte aus den vorherigen Kapiteln herangezogen werden bzw. wenn diese angemessene Sicherheitsmaßnahmen etabliert haben, kann man sich hierauf berufen.</w:t>
            </w:r>
          </w:p>
          <w:p w14:paraId="10D6EBBB" w14:textId="79552772" w:rsidR="00254198" w:rsidRPr="00201374" w:rsidRDefault="00254198" w:rsidP="00CC665E">
            <w:pPr>
              <w:pStyle w:val="TabelleText"/>
              <w:spacing w:before="240"/>
            </w:pPr>
            <w:r w:rsidRPr="00201374">
              <w:t xml:space="preserve">Falls PSC reaktiviert werden müssen – beispielsweise aufgrund zu vieler fehlgeschlagener Anmeldeversuche, die bspw. zur Sperrung aller Vertriebskanäle führen – sollte der Kunde die Reaktivierung nicht selbst durchführen können. Der Kunde sollte sich an die Bank </w:t>
            </w:r>
            <w:r w:rsidRPr="00201374">
              <w:lastRenderedPageBreak/>
              <w:t>wenden müssen, um die Reaktivierung zu veranlassen.</w:t>
            </w:r>
          </w:p>
        </w:tc>
        <w:tc>
          <w:tcPr>
            <w:tcW w:w="985" w:type="pct"/>
            <w:tcBorders>
              <w:top w:val="single" w:sz="2" w:space="0" w:color="272727"/>
              <w:left w:val="single" w:sz="48" w:space="0" w:color="FFFFFF" w:themeColor="background1"/>
              <w:bottom w:val="single" w:sz="2" w:space="0" w:color="272727"/>
              <w:right w:val="nil"/>
            </w:tcBorders>
          </w:tcPr>
          <w:p w14:paraId="201E24C6" w14:textId="5783521E" w:rsidR="00254198" w:rsidRPr="00201374" w:rsidRDefault="00254198" w:rsidP="00CC665E">
            <w:pPr>
              <w:pStyle w:val="TabelleText"/>
              <w:spacing w:before="240"/>
            </w:pPr>
            <w:r w:rsidRPr="00201374">
              <w:lastRenderedPageBreak/>
              <w:t>Die Zahlungsdienstleister gewährleisten, dass die Verlängerung oder die erneute Aktivierung der personalisierten Sicherheitsmerkmale gemäß den Verfahren für die in den Artikeln 23, 24 und 25 beschriebene Erstellung, Verknüpfung und Bereitstellung der Sicherheitsmerkmale und der Authentifizierungsgeräte vorgenommen wird.</w:t>
            </w:r>
          </w:p>
        </w:tc>
      </w:tr>
      <w:tr w:rsidR="00CC665E" w:rsidRPr="00201374" w14:paraId="59DDC0CE" w14:textId="77777777" w:rsidTr="00CC665E">
        <w:trPr>
          <w:trHeight w:val="173"/>
        </w:trPr>
        <w:tc>
          <w:tcPr>
            <w:tcW w:w="5000" w:type="pct"/>
            <w:gridSpan w:val="5"/>
            <w:tcBorders>
              <w:top w:val="single" w:sz="2" w:space="0" w:color="272727"/>
              <w:left w:val="nil"/>
              <w:bottom w:val="single" w:sz="2" w:space="0" w:color="272727"/>
              <w:right w:val="single" w:sz="48" w:space="0" w:color="FFFFFF" w:themeColor="background1"/>
            </w:tcBorders>
          </w:tcPr>
          <w:p w14:paraId="143F4243" w14:textId="430A9170" w:rsidR="00CC665E" w:rsidRPr="00CC665E" w:rsidRDefault="00CC665E" w:rsidP="00254198">
            <w:pPr>
              <w:pStyle w:val="TabelleText"/>
              <w:rPr>
                <w:b/>
                <w:bCs/>
              </w:rPr>
            </w:pPr>
            <w:r w:rsidRPr="00CC665E">
              <w:rPr>
                <w:b/>
                <w:bCs/>
              </w:rPr>
              <w:t>Artikel 27 - Vernichtung, Deaktivierung und Widerruf</w:t>
            </w:r>
          </w:p>
        </w:tc>
      </w:tr>
      <w:tr w:rsidR="00254198" w:rsidRPr="00201374" w14:paraId="071301D2" w14:textId="77777777" w:rsidTr="00CC665E">
        <w:trPr>
          <w:trHeight w:val="173"/>
        </w:trPr>
        <w:tc>
          <w:tcPr>
            <w:tcW w:w="106" w:type="pct"/>
            <w:tcBorders>
              <w:top w:val="single" w:sz="2" w:space="0" w:color="272727"/>
              <w:left w:val="nil"/>
              <w:bottom w:val="single" w:sz="2" w:space="0" w:color="272727"/>
              <w:right w:val="single" w:sz="48" w:space="0" w:color="FFFFFF" w:themeColor="background1"/>
            </w:tcBorders>
          </w:tcPr>
          <w:p w14:paraId="7A8AE315" w14:textId="376E25E5" w:rsidR="00254198" w:rsidRPr="00201374" w:rsidRDefault="00CC665E" w:rsidP="00CC665E">
            <w:pPr>
              <w:pStyle w:val="TabelleText"/>
              <w:spacing w:before="240"/>
            </w:pPr>
            <w:r>
              <w:t>(1)</w:t>
            </w:r>
          </w:p>
        </w:tc>
        <w:tc>
          <w:tcPr>
            <w:tcW w:w="1532" w:type="pct"/>
            <w:tcBorders>
              <w:top w:val="single" w:sz="2" w:space="0" w:color="272727"/>
              <w:left w:val="nil"/>
              <w:bottom w:val="single" w:sz="2" w:space="0" w:color="272727"/>
              <w:right w:val="single" w:sz="48" w:space="0" w:color="FFFFFF" w:themeColor="background1"/>
            </w:tcBorders>
          </w:tcPr>
          <w:p w14:paraId="196F57CA" w14:textId="77777777" w:rsidR="00254198" w:rsidRPr="00201374" w:rsidRDefault="00254198" w:rsidP="00CC665E">
            <w:pPr>
              <w:pStyle w:val="TabelleText"/>
              <w:spacing w:before="240"/>
            </w:pPr>
            <w:r w:rsidRPr="00201374">
              <w:t>Die Zahlungsdienstleister gewährleisten, dass sie über wirksame Prozesse zur Anwendung aller folgenden Sicherheitsmaßnahmen verfügen:</w:t>
            </w:r>
          </w:p>
          <w:p w14:paraId="6F62AF0A" w14:textId="77777777" w:rsidR="00254198" w:rsidRPr="00201374" w:rsidRDefault="00254198" w:rsidP="00CC665E">
            <w:pPr>
              <w:pStyle w:val="TabelleText"/>
              <w:spacing w:before="240"/>
            </w:pPr>
            <w:r w:rsidRPr="00201374">
              <w:t xml:space="preserve">a) sichere Vernichtung, sichere Deaktivierung und sicherer Widerruf der personalisierten Sicherheitsmerkmale, der Authentifizierungsgeräte und der Software; </w:t>
            </w:r>
          </w:p>
          <w:p w14:paraId="753EC167" w14:textId="77777777" w:rsidR="00254198" w:rsidRPr="00201374" w:rsidRDefault="00254198" w:rsidP="00CC665E">
            <w:pPr>
              <w:pStyle w:val="TabelleText"/>
              <w:spacing w:before="240"/>
            </w:pPr>
            <w:r w:rsidRPr="00201374">
              <w:t xml:space="preserve">b) wenn der Zahlungsdienstleister wiederverwendbare Authentifizierungsgeräte und Software ausgibt, wird die sichere Wiederverwendung eines Geräts oder der Software festgelegt, dokumentiert und implementiert, bevor das Gerät oder die Software einem anderen Zahlungsdienstnutzer bereitgestellt wird; </w:t>
            </w:r>
          </w:p>
          <w:p w14:paraId="539A05C4" w14:textId="0D0EF473" w:rsidR="00254198" w:rsidRPr="00201374" w:rsidRDefault="00254198" w:rsidP="00CC665E">
            <w:pPr>
              <w:pStyle w:val="TabelleText"/>
              <w:spacing w:before="240"/>
            </w:pPr>
            <w:r w:rsidRPr="00201374">
              <w:t>c) Deaktivierung oder Widerruf von Informationen in Bezug auf die personalisierten Sicherheitsmerkmale, die in den Systemen und Datenbanken des Zahlungsdienstleisters oder gegebenenfalls in öffentlichen Datenarchiven gespeichert sind.</w:t>
            </w:r>
          </w:p>
        </w:tc>
        <w:tc>
          <w:tcPr>
            <w:tcW w:w="1426" w:type="pct"/>
            <w:tcBorders>
              <w:top w:val="single" w:sz="2" w:space="0" w:color="272727"/>
              <w:left w:val="nil"/>
              <w:bottom w:val="single" w:sz="2" w:space="0" w:color="272727"/>
              <w:right w:val="single" w:sz="48" w:space="0" w:color="FFFFFF" w:themeColor="background1"/>
            </w:tcBorders>
          </w:tcPr>
          <w:p w14:paraId="56DC1A4D" w14:textId="3C0D24E6" w:rsidR="00254198" w:rsidRPr="00201374" w:rsidRDefault="00254198" w:rsidP="00CC665E">
            <w:pPr>
              <w:pStyle w:val="TabelleText"/>
              <w:spacing w:before="240"/>
            </w:pPr>
            <w:r w:rsidRPr="00201374">
              <w:t>Es müssen sichere Prozesse für die Löschung, Deaktivierung, Wiederverwendung und den Widerruf der PSC, Authentifizierungsgeräte und Software implementiert sein.</w:t>
            </w:r>
          </w:p>
        </w:tc>
        <w:tc>
          <w:tcPr>
            <w:tcW w:w="951" w:type="pct"/>
            <w:tcBorders>
              <w:top w:val="single" w:sz="2" w:space="0" w:color="272727"/>
              <w:left w:val="single" w:sz="48" w:space="0" w:color="FFFFFF" w:themeColor="background1"/>
              <w:bottom w:val="single" w:sz="2" w:space="0" w:color="272727"/>
              <w:right w:val="nil"/>
            </w:tcBorders>
          </w:tcPr>
          <w:p w14:paraId="37F27CF5" w14:textId="77777777" w:rsidR="00254198" w:rsidRPr="00201374" w:rsidRDefault="00254198" w:rsidP="00CC665E">
            <w:pPr>
              <w:pStyle w:val="TabelleText"/>
              <w:spacing w:before="240"/>
            </w:pPr>
            <w:r w:rsidRPr="00201374">
              <w:t>Kann der Prozess zur Deaktivierung ausschließlich über den Online-Banking-Zugang des Kunden initiiert werden (eine Anmeldung mit PIN ist Voraussetzung)?</w:t>
            </w:r>
          </w:p>
          <w:p w14:paraId="4E867BC1" w14:textId="77777777" w:rsidR="00254198" w:rsidRPr="00201374" w:rsidRDefault="00254198" w:rsidP="00CC665E">
            <w:pPr>
              <w:pStyle w:val="TabelleText"/>
              <w:spacing w:before="240"/>
            </w:pPr>
            <w:r w:rsidRPr="00201374">
              <w:t>Kann neben dem Löschen der Mobile-Banking-App diese auch deaktiviert werden, falls sie auf mehreren Geräten installiert ist? Erfolgt die Deaktivierung innerhalb der App durch Bestätigung des Vorgangs mittels SKA?</w:t>
            </w:r>
          </w:p>
          <w:p w14:paraId="54E9DD9A" w14:textId="6018DC4C" w:rsidR="00254198" w:rsidRPr="00201374" w:rsidRDefault="00254198" w:rsidP="00CC665E">
            <w:pPr>
              <w:pStyle w:val="TabelleText"/>
              <w:spacing w:before="240"/>
            </w:pPr>
            <w:r w:rsidRPr="00201374">
              <w:t>Ist es möglich alle bekannten Geräte (bspw. Smartphones) zu deaktivieren?</w:t>
            </w:r>
          </w:p>
        </w:tc>
        <w:tc>
          <w:tcPr>
            <w:tcW w:w="985" w:type="pct"/>
            <w:tcBorders>
              <w:top w:val="single" w:sz="2" w:space="0" w:color="272727"/>
              <w:left w:val="single" w:sz="48" w:space="0" w:color="FFFFFF" w:themeColor="background1"/>
              <w:bottom w:val="single" w:sz="2" w:space="0" w:color="272727"/>
              <w:right w:val="nil"/>
            </w:tcBorders>
          </w:tcPr>
          <w:p w14:paraId="2AE750C9" w14:textId="77777777" w:rsidR="00254198" w:rsidRPr="00201374" w:rsidRDefault="00254198" w:rsidP="00CC665E">
            <w:pPr>
              <w:pStyle w:val="TabelleText"/>
              <w:spacing w:before="240"/>
            </w:pPr>
          </w:p>
        </w:tc>
      </w:tr>
    </w:tbl>
    <w:p w14:paraId="69F12E3F" w14:textId="216F9455" w:rsidR="00024DC0" w:rsidRPr="00201374" w:rsidRDefault="00024DC0" w:rsidP="00D41CB8">
      <w:pPr>
        <w:pStyle w:val="berschrift1"/>
      </w:pPr>
      <w:bookmarkStart w:id="19" w:name="_Toc240029084"/>
      <w:bookmarkStart w:id="20" w:name="_Toc240360285"/>
      <w:r w:rsidRPr="00201374">
        <w:lastRenderedPageBreak/>
        <w:t xml:space="preserve">Gemeinsame und sichere </w:t>
      </w:r>
      <w:r w:rsidRPr="00D41CB8">
        <w:t>offene</w:t>
      </w:r>
      <w:r w:rsidRPr="00201374">
        <w:t xml:space="preserve"> Kommunikationsstandards</w:t>
      </w:r>
      <w:bookmarkEnd w:id="19"/>
      <w:bookmarkEnd w:id="20"/>
    </w:p>
    <w:tbl>
      <w:tblPr>
        <w:tblStyle w:val="Tabellenraster"/>
        <w:tblW w:w="5000" w:type="pct"/>
        <w:tblCellMar>
          <w:left w:w="0" w:type="dxa"/>
          <w:right w:w="0" w:type="dxa"/>
        </w:tblCellMar>
        <w:tblLook w:val="0620" w:firstRow="1" w:lastRow="0" w:firstColumn="0" w:lastColumn="0" w:noHBand="1" w:noVBand="1"/>
      </w:tblPr>
      <w:tblGrid>
        <w:gridCol w:w="306"/>
        <w:gridCol w:w="4105"/>
        <w:gridCol w:w="3649"/>
        <w:gridCol w:w="2718"/>
        <w:gridCol w:w="2637"/>
      </w:tblGrid>
      <w:tr w:rsidR="00CC665E" w:rsidRPr="00201374" w14:paraId="0DFCE9A8" w14:textId="77777777" w:rsidTr="00CC665E">
        <w:trPr>
          <w:trHeight w:val="177"/>
          <w:tblHeader/>
        </w:trPr>
        <w:tc>
          <w:tcPr>
            <w:tcW w:w="1644" w:type="pct"/>
            <w:gridSpan w:val="2"/>
            <w:tcBorders>
              <w:top w:val="single" w:sz="12" w:space="0" w:color="272727"/>
              <w:left w:val="nil"/>
              <w:bottom w:val="single" w:sz="8" w:space="0" w:color="272727"/>
              <w:right w:val="single" w:sz="48" w:space="0" w:color="FFFFFF" w:themeColor="background1"/>
            </w:tcBorders>
          </w:tcPr>
          <w:p w14:paraId="557318FC" w14:textId="220419AA" w:rsidR="00CC665E" w:rsidRPr="00201374" w:rsidRDefault="00CC665E" w:rsidP="006A533E">
            <w:pPr>
              <w:pStyle w:val="Tabelleberschrift2"/>
              <w:rPr>
                <w:rFonts w:cs="Arial"/>
              </w:rPr>
            </w:pPr>
            <w:r w:rsidRPr="00201374">
              <w:rPr>
                <w:rFonts w:cs="Arial"/>
              </w:rPr>
              <w:t>Artikel</w:t>
            </w:r>
          </w:p>
        </w:tc>
        <w:tc>
          <w:tcPr>
            <w:tcW w:w="1360" w:type="pct"/>
            <w:tcBorders>
              <w:top w:val="single" w:sz="12" w:space="0" w:color="272727"/>
              <w:left w:val="single" w:sz="48" w:space="0" w:color="FFFFFF" w:themeColor="background1"/>
              <w:bottom w:val="single" w:sz="8" w:space="0" w:color="272727"/>
              <w:right w:val="single" w:sz="48" w:space="0" w:color="FFFFFF" w:themeColor="background1"/>
            </w:tcBorders>
          </w:tcPr>
          <w:p w14:paraId="3B925F5A" w14:textId="3AC0EAF3" w:rsidR="00CC665E" w:rsidRPr="00201374" w:rsidRDefault="00CC665E" w:rsidP="006A533E">
            <w:pPr>
              <w:pStyle w:val="Tabelleberschrift2"/>
              <w:rPr>
                <w:rFonts w:cs="Arial"/>
              </w:rPr>
            </w:pPr>
            <w:r w:rsidRPr="00201374">
              <w:rPr>
                <w:rFonts w:cs="Arial"/>
              </w:rPr>
              <w:t>Wesentliche Inhalte/ergänzende Erläuterungen</w:t>
            </w:r>
          </w:p>
        </w:tc>
        <w:tc>
          <w:tcPr>
            <w:tcW w:w="1013" w:type="pct"/>
            <w:tcBorders>
              <w:top w:val="single" w:sz="12" w:space="0" w:color="272727"/>
              <w:left w:val="single" w:sz="48" w:space="0" w:color="FFFFFF" w:themeColor="background1"/>
              <w:bottom w:val="single" w:sz="8" w:space="0" w:color="272727"/>
              <w:right w:val="nil"/>
            </w:tcBorders>
          </w:tcPr>
          <w:p w14:paraId="7960D76F" w14:textId="69950FBE" w:rsidR="00CC665E" w:rsidRPr="00201374" w:rsidRDefault="00CC665E" w:rsidP="006A533E">
            <w:pPr>
              <w:pStyle w:val="Tabelleberschrift2"/>
              <w:rPr>
                <w:rFonts w:cs="Arial"/>
              </w:rPr>
            </w:pPr>
            <w:r w:rsidRPr="00201374">
              <w:rPr>
                <w:rFonts w:cs="Arial"/>
              </w:rPr>
              <w:t>Prüfungsvorschläge und Fragestellungen</w:t>
            </w:r>
          </w:p>
        </w:tc>
        <w:tc>
          <w:tcPr>
            <w:tcW w:w="983" w:type="pct"/>
            <w:tcBorders>
              <w:top w:val="single" w:sz="12" w:space="0" w:color="272727"/>
              <w:left w:val="single" w:sz="48" w:space="0" w:color="FFFFFF" w:themeColor="background1"/>
              <w:bottom w:val="single" w:sz="8" w:space="0" w:color="272727"/>
              <w:right w:val="nil"/>
            </w:tcBorders>
          </w:tcPr>
          <w:p w14:paraId="1335B211" w14:textId="43A2C578" w:rsidR="00CC665E" w:rsidRPr="00201374" w:rsidRDefault="00CC665E" w:rsidP="006A533E">
            <w:pPr>
              <w:pStyle w:val="Tabelleberschrift2"/>
              <w:rPr>
                <w:rFonts w:cs="Arial"/>
              </w:rPr>
            </w:pPr>
            <w:r w:rsidRPr="00201374">
              <w:rPr>
                <w:rFonts w:cs="Arial"/>
              </w:rPr>
              <w:t>Prüfung beim Dienstleister bei Outsourcing (</w:t>
            </w:r>
            <w:r w:rsidRPr="00201374">
              <w:rPr>
                <w:rFonts w:cs="Arial"/>
                <w:i/>
                <w:iCs/>
              </w:rPr>
              <w:t>falls relevant</w:t>
            </w:r>
            <w:r w:rsidRPr="00201374">
              <w:rPr>
                <w:rFonts w:cs="Arial"/>
              </w:rPr>
              <w:t>)</w:t>
            </w:r>
          </w:p>
        </w:tc>
      </w:tr>
      <w:tr w:rsidR="00CC665E" w:rsidRPr="00201374" w14:paraId="4298E89C" w14:textId="77777777" w:rsidTr="00CC665E">
        <w:trPr>
          <w:trHeight w:val="321"/>
        </w:trPr>
        <w:tc>
          <w:tcPr>
            <w:tcW w:w="5000" w:type="pct"/>
            <w:gridSpan w:val="5"/>
            <w:tcBorders>
              <w:top w:val="single" w:sz="8" w:space="0" w:color="272727"/>
              <w:left w:val="nil"/>
              <w:bottom w:val="single" w:sz="2" w:space="0" w:color="272727"/>
              <w:right w:val="single" w:sz="48" w:space="0" w:color="FFFFFF" w:themeColor="background1"/>
            </w:tcBorders>
          </w:tcPr>
          <w:p w14:paraId="7E314109" w14:textId="0856E68E" w:rsidR="00CC665E" w:rsidRPr="00DD71DA" w:rsidRDefault="00CC665E" w:rsidP="00254198">
            <w:pPr>
              <w:pStyle w:val="TabelleText"/>
              <w:rPr>
                <w:b/>
                <w:bCs/>
              </w:rPr>
            </w:pPr>
            <w:r w:rsidRPr="00DD71DA">
              <w:rPr>
                <w:b/>
                <w:bCs/>
              </w:rPr>
              <w:t>Abschnitt 1 Allgemeine Anforderungen an die Kommunikation</w:t>
            </w:r>
          </w:p>
        </w:tc>
      </w:tr>
      <w:tr w:rsidR="00CC665E" w:rsidRPr="00201374" w14:paraId="311F2801" w14:textId="77777777" w:rsidTr="00CC665E">
        <w:trPr>
          <w:trHeight w:val="173"/>
        </w:trPr>
        <w:tc>
          <w:tcPr>
            <w:tcW w:w="5000" w:type="pct"/>
            <w:gridSpan w:val="5"/>
            <w:tcBorders>
              <w:top w:val="single" w:sz="2" w:space="0" w:color="272727"/>
              <w:left w:val="nil"/>
              <w:bottom w:val="single" w:sz="2" w:space="0" w:color="272727"/>
              <w:right w:val="single" w:sz="48" w:space="0" w:color="FFFFFF" w:themeColor="background1"/>
            </w:tcBorders>
          </w:tcPr>
          <w:p w14:paraId="2A62F35E" w14:textId="4F9AFD85" w:rsidR="00CC665E" w:rsidRPr="00DD71DA" w:rsidRDefault="00CC665E" w:rsidP="00254198">
            <w:pPr>
              <w:pStyle w:val="TabelleText"/>
              <w:rPr>
                <w:b/>
                <w:bCs/>
              </w:rPr>
            </w:pPr>
            <w:r w:rsidRPr="00DD71DA">
              <w:rPr>
                <w:b/>
                <w:bCs/>
              </w:rPr>
              <w:t>Artikel 28 - Anforderungen an die Identifizierung</w:t>
            </w:r>
          </w:p>
        </w:tc>
      </w:tr>
      <w:tr w:rsidR="005D70ED" w:rsidRPr="00201374" w14:paraId="50B563F0"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0569E9D0" w14:textId="19AE9647" w:rsidR="00CC665E" w:rsidRPr="00DD71DA" w:rsidRDefault="00CC665E" w:rsidP="00CC665E">
            <w:pPr>
              <w:pStyle w:val="TabelleText"/>
              <w:spacing w:before="240"/>
              <w:rPr>
                <w:b/>
              </w:rPr>
            </w:pPr>
            <w:r w:rsidRPr="00DD71DA">
              <w:rPr>
                <w:b/>
              </w:rPr>
              <w:t>(1)</w:t>
            </w:r>
          </w:p>
        </w:tc>
        <w:tc>
          <w:tcPr>
            <w:tcW w:w="1530" w:type="pct"/>
            <w:tcBorders>
              <w:top w:val="single" w:sz="2" w:space="0" w:color="272727"/>
              <w:left w:val="nil"/>
              <w:bottom w:val="single" w:sz="2" w:space="0" w:color="272727"/>
              <w:right w:val="single" w:sz="48" w:space="0" w:color="FFFFFF" w:themeColor="background1"/>
            </w:tcBorders>
          </w:tcPr>
          <w:p w14:paraId="134E7373" w14:textId="075B8608" w:rsidR="00CC665E" w:rsidRPr="00DD71DA" w:rsidRDefault="00CC665E" w:rsidP="00CC665E">
            <w:pPr>
              <w:pStyle w:val="TabelleText"/>
              <w:spacing w:before="240"/>
            </w:pPr>
            <w:r w:rsidRPr="00DD71DA">
              <w:t xml:space="preserve">Für die Kommunikation zwischen dem Gerät des Zahlers und den Akzeptanzgeräten des Zahlungsempfängers, wozu unter anderem auch Zahlungsterminals zählen, gewährleisten die Zahlungsdienstleister eine sichere Identifizierung. </w:t>
            </w:r>
          </w:p>
        </w:tc>
        <w:tc>
          <w:tcPr>
            <w:tcW w:w="1360" w:type="pct"/>
            <w:tcBorders>
              <w:top w:val="single" w:sz="2" w:space="0" w:color="272727"/>
              <w:left w:val="nil"/>
              <w:bottom w:val="single" w:sz="2" w:space="0" w:color="272727"/>
              <w:right w:val="single" w:sz="48" w:space="0" w:color="FFFFFF" w:themeColor="background1"/>
            </w:tcBorders>
          </w:tcPr>
          <w:p w14:paraId="43AFC863" w14:textId="3F2B6E64" w:rsidR="00CC665E" w:rsidRPr="00DD71DA" w:rsidRDefault="00CC665E" w:rsidP="00CC665E">
            <w:pPr>
              <w:pStyle w:val="TabelleText"/>
              <w:spacing w:before="240"/>
            </w:pPr>
            <w:r w:rsidRPr="00DD71DA">
              <w:t>Zahlungsdienstleister gewährleisten bei der Kommunikation zwischen dem Gerät des Zahlers und den Akzeptanzgeräten des Zahlungsempfängers eine sichere Identifizierung und dämmen bei mobilen Anwendungen sowie anderen Schnittstellen die Risiken einer Fehlleitung der Kommunikation an Unbefugte wirksam ein.</w:t>
            </w:r>
          </w:p>
        </w:tc>
        <w:tc>
          <w:tcPr>
            <w:tcW w:w="1013" w:type="pct"/>
            <w:tcBorders>
              <w:top w:val="single" w:sz="2" w:space="0" w:color="272727"/>
              <w:left w:val="single" w:sz="48" w:space="0" w:color="FFFFFF" w:themeColor="background1"/>
              <w:bottom w:val="single" w:sz="2" w:space="0" w:color="272727"/>
              <w:right w:val="nil"/>
            </w:tcBorders>
          </w:tcPr>
          <w:p w14:paraId="54597F59" w14:textId="6E04614C" w:rsidR="00CC665E" w:rsidRPr="00DD71DA" w:rsidRDefault="00CC665E" w:rsidP="00CC665E">
            <w:pPr>
              <w:pStyle w:val="TabelleText"/>
              <w:spacing w:before="240"/>
            </w:pPr>
            <w:r w:rsidRPr="00DD71DA">
              <w:t>Identifizierung und Prüfung des verwendeten Authentifizierungsansatzes (redirect</w:t>
            </w:r>
            <w:r w:rsidR="004E3AE6">
              <w:t>;</w:t>
            </w:r>
            <w:r w:rsidRPr="00DD71DA">
              <w:rPr>
                <w:rStyle w:val="Funotenzeichen"/>
                <w:rFonts w:cs="Arial"/>
              </w:rPr>
              <w:footnoteReference w:id="6"/>
            </w:r>
            <w:r w:rsidRPr="00DD71DA">
              <w:t xml:space="preserve"> embedded</w:t>
            </w:r>
            <w:r w:rsidR="004E3AE6">
              <w:t>;</w:t>
            </w:r>
            <w:r w:rsidRPr="00DD71DA">
              <w:rPr>
                <w:rStyle w:val="Funotenzeichen"/>
                <w:rFonts w:cs="Arial"/>
              </w:rPr>
              <w:footnoteReference w:id="7"/>
            </w:r>
            <w:r w:rsidRPr="00DD71DA">
              <w:t xml:space="preserve"> decoupled</w:t>
            </w:r>
            <w:r w:rsidR="004E3AE6">
              <w:t>)</w:t>
            </w:r>
            <w:r w:rsidRPr="00DD71DA">
              <w:rPr>
                <w:rStyle w:val="Funotenzeichen"/>
                <w:rFonts w:cs="Arial"/>
              </w:rPr>
              <w:footnoteReference w:id="8"/>
            </w:r>
          </w:p>
          <w:p w14:paraId="64B0314D" w14:textId="77777777" w:rsidR="00CC665E" w:rsidRPr="00DD71DA" w:rsidRDefault="00CC665E" w:rsidP="00CC665E">
            <w:pPr>
              <w:pStyle w:val="TabelleText"/>
              <w:spacing w:before="240"/>
            </w:pPr>
            <w:r w:rsidRPr="00DD71DA">
              <w:t>Existieren wirksame Sicherheits- und Überwachungsmaßnahmen, um Betrugsversuche durch unbefugte Dritte in mobilen Anwendungen und Benutzeroberflächen für Zahlungsdienste rechtzeitig zu erkennen?</w:t>
            </w:r>
          </w:p>
          <w:p w14:paraId="4642AA72" w14:textId="77777777" w:rsidR="00CC665E" w:rsidRPr="00DD71DA" w:rsidRDefault="00CC665E" w:rsidP="00CC665E">
            <w:pPr>
              <w:pStyle w:val="TabelleText"/>
              <w:spacing w:before="240"/>
            </w:pPr>
            <w:r w:rsidRPr="00DD71DA">
              <w:lastRenderedPageBreak/>
              <w:t>Sind die eingesetzten Certificate Authorities (CAs) für die Identifizierung hinreichend akkreditiert (z. B. eIDAS-konforme Zertifikate)?</w:t>
            </w:r>
          </w:p>
          <w:p w14:paraId="49A74DFD" w14:textId="25D40AC9" w:rsidR="00CC665E" w:rsidRPr="00DD71DA" w:rsidRDefault="00CC665E" w:rsidP="00CC665E">
            <w:pPr>
              <w:pStyle w:val="TabelleText"/>
              <w:spacing w:before="240"/>
            </w:pPr>
            <w:r w:rsidRPr="00DD71DA">
              <w:t>Existiert eine angemessene Dokumentation der eingesetzten Identifizierungs- und Verschlüsselungsverfahren?</w:t>
            </w:r>
          </w:p>
        </w:tc>
        <w:tc>
          <w:tcPr>
            <w:tcW w:w="983" w:type="pct"/>
            <w:tcBorders>
              <w:top w:val="single" w:sz="2" w:space="0" w:color="272727"/>
              <w:left w:val="single" w:sz="48" w:space="0" w:color="FFFFFF" w:themeColor="background1"/>
              <w:bottom w:val="single" w:sz="2" w:space="0" w:color="272727"/>
              <w:right w:val="nil"/>
            </w:tcBorders>
          </w:tcPr>
          <w:p w14:paraId="2AF78620" w14:textId="77777777" w:rsidR="00CC665E" w:rsidRPr="00DD71DA" w:rsidRDefault="00CC665E" w:rsidP="00CC665E">
            <w:pPr>
              <w:pStyle w:val="TabelleText"/>
              <w:spacing w:before="240"/>
            </w:pPr>
            <w:r w:rsidRPr="00DD71DA">
              <w:lastRenderedPageBreak/>
              <w:t>Genügen die eingesetzten Identifizierungs- und Kommunikationsverfahren den Anforderungen an eine sichere Identifizierung und den Schutz vor Fehlleitungen?</w:t>
            </w:r>
          </w:p>
          <w:p w14:paraId="3267BC73" w14:textId="016603C3" w:rsidR="00CC665E" w:rsidRPr="00DD71DA" w:rsidRDefault="00CC665E" w:rsidP="00CC665E">
            <w:pPr>
              <w:pStyle w:val="TabelleText"/>
              <w:spacing w:before="240"/>
            </w:pPr>
            <w:r w:rsidRPr="00DD71DA">
              <w:t>Entsprechen die verwendeten Zertifikate und Sicherheitsmechanismen den regulatorischen Vorgaben (z. B. eIDAS)?</w:t>
            </w:r>
          </w:p>
        </w:tc>
      </w:tr>
      <w:tr w:rsidR="005D70ED" w:rsidRPr="00201374" w14:paraId="3FF251B3"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44E68091" w14:textId="7E0883B3" w:rsidR="00CC665E" w:rsidRPr="00DD71DA" w:rsidRDefault="00CC665E" w:rsidP="00CC665E">
            <w:pPr>
              <w:pStyle w:val="TabelleText"/>
              <w:spacing w:before="240"/>
              <w:rPr>
                <w:b/>
              </w:rPr>
            </w:pPr>
            <w:r w:rsidRPr="00DD71DA">
              <w:rPr>
                <w:b/>
              </w:rPr>
              <w:t>(2)</w:t>
            </w:r>
          </w:p>
        </w:tc>
        <w:tc>
          <w:tcPr>
            <w:tcW w:w="1530" w:type="pct"/>
            <w:tcBorders>
              <w:top w:val="single" w:sz="2" w:space="0" w:color="272727"/>
              <w:left w:val="nil"/>
              <w:bottom w:val="single" w:sz="2" w:space="0" w:color="272727"/>
              <w:right w:val="single" w:sz="48" w:space="0" w:color="FFFFFF" w:themeColor="background1"/>
            </w:tcBorders>
          </w:tcPr>
          <w:p w14:paraId="3A9F9FFA" w14:textId="1DFC66C5" w:rsidR="00CC665E" w:rsidRPr="00DD71DA" w:rsidRDefault="00CC665E" w:rsidP="00CC665E">
            <w:pPr>
              <w:pStyle w:val="TabelleText"/>
              <w:spacing w:before="240"/>
            </w:pPr>
            <w:r w:rsidRPr="00DD71DA">
              <w:t>Die Zahlungsdienstleister gewährleisten, dass bei mobilen Anwendungen und anderen Schnittstellen von Zahlungsdienstnutzern, die elektronische Zahlungsdienste ermöglichen, die Risiken einer Fehlleitung der Kommunikation an Unbefugte wirksam eingedämmt werden.</w:t>
            </w:r>
          </w:p>
        </w:tc>
        <w:tc>
          <w:tcPr>
            <w:tcW w:w="1360" w:type="pct"/>
            <w:tcBorders>
              <w:top w:val="single" w:sz="2" w:space="0" w:color="272727"/>
              <w:left w:val="nil"/>
              <w:bottom w:val="single" w:sz="2" w:space="0" w:color="272727"/>
              <w:right w:val="single" w:sz="48" w:space="0" w:color="FFFFFF" w:themeColor="background1"/>
            </w:tcBorders>
          </w:tcPr>
          <w:p w14:paraId="18C90C2B" w14:textId="3B18B9E0" w:rsidR="00CC665E" w:rsidRPr="00DD71DA" w:rsidRDefault="00CC665E" w:rsidP="00CC665E">
            <w:pPr>
              <w:pStyle w:val="TabelleText"/>
              <w:spacing w:before="240"/>
            </w:pPr>
            <w:r w:rsidRPr="00DD71DA">
              <w:t>Anforderung an die Bereitstellung der Schnittstellen zum Zahlungsdienstnutzer.</w:t>
            </w:r>
          </w:p>
        </w:tc>
        <w:tc>
          <w:tcPr>
            <w:tcW w:w="1013" w:type="pct"/>
            <w:tcBorders>
              <w:top w:val="single" w:sz="2" w:space="0" w:color="272727"/>
              <w:left w:val="single" w:sz="48" w:space="0" w:color="FFFFFF" w:themeColor="background1"/>
              <w:bottom w:val="single" w:sz="2" w:space="0" w:color="272727"/>
              <w:right w:val="nil"/>
            </w:tcBorders>
          </w:tcPr>
          <w:p w14:paraId="0B064459" w14:textId="77777777" w:rsidR="00CC665E" w:rsidRPr="00DD71DA" w:rsidRDefault="00CC665E" w:rsidP="00CC665E">
            <w:pPr>
              <w:pStyle w:val="TabelleText"/>
              <w:spacing w:before="240"/>
            </w:pPr>
            <w:r w:rsidRPr="00DD71DA">
              <w:t>Einholung von Nachweisen, dass hinreichende Maßnahmen zur Vermeidung von Fehlleitungen (z. B. durch Phishing) implementiert sind.</w:t>
            </w:r>
          </w:p>
          <w:p w14:paraId="73E498FF" w14:textId="0A52DD0D" w:rsidR="00CC665E" w:rsidRPr="00DD71DA" w:rsidRDefault="00CC665E" w:rsidP="00D41CB8">
            <w:pPr>
              <w:pStyle w:val="TabelleText"/>
              <w:spacing w:before="240"/>
            </w:pPr>
            <w:r w:rsidRPr="00DD71DA">
              <w:t>Anforderung und Prüfung der Dokumentation zu den technischen und organisatorischen Maßnahmen zur sicheren Identifizierung und Kommunikation.</w:t>
            </w:r>
          </w:p>
        </w:tc>
        <w:tc>
          <w:tcPr>
            <w:tcW w:w="983" w:type="pct"/>
            <w:tcBorders>
              <w:top w:val="single" w:sz="2" w:space="0" w:color="272727"/>
              <w:left w:val="single" w:sz="48" w:space="0" w:color="FFFFFF" w:themeColor="background1"/>
              <w:bottom w:val="single" w:sz="2" w:space="0" w:color="272727"/>
              <w:right w:val="nil"/>
            </w:tcBorders>
          </w:tcPr>
          <w:p w14:paraId="23CE6480" w14:textId="77777777" w:rsidR="00CC665E" w:rsidRPr="00DD71DA" w:rsidRDefault="00CC665E" w:rsidP="00CC665E">
            <w:pPr>
              <w:pStyle w:val="TabelleText"/>
              <w:spacing w:before="240"/>
            </w:pPr>
          </w:p>
        </w:tc>
      </w:tr>
      <w:tr w:rsidR="00CC665E" w:rsidRPr="00201374" w14:paraId="025AA7A7" w14:textId="77777777" w:rsidTr="00CC665E">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4317C7D9" w14:textId="59DF109E" w:rsidR="00CC665E" w:rsidRPr="00DD71DA" w:rsidRDefault="00CC665E" w:rsidP="00254198">
            <w:pPr>
              <w:pStyle w:val="TabelleText"/>
            </w:pPr>
            <w:r w:rsidRPr="00DD71DA">
              <w:rPr>
                <w:b/>
                <w:bCs/>
              </w:rPr>
              <w:t>Artikel 29 – Rückverfolgbarkeit</w:t>
            </w:r>
          </w:p>
        </w:tc>
      </w:tr>
      <w:tr w:rsidR="005D70ED" w:rsidRPr="00201374" w14:paraId="54252BBC"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4CDB77A2" w14:textId="58123C2C" w:rsidR="00CC665E" w:rsidRPr="00DD71DA" w:rsidRDefault="00CC665E" w:rsidP="00CC665E">
            <w:pPr>
              <w:pStyle w:val="TabelleText"/>
              <w:spacing w:before="240"/>
              <w:rPr>
                <w:b/>
                <w:bCs/>
              </w:rPr>
            </w:pPr>
            <w:r w:rsidRPr="00DD71DA">
              <w:rPr>
                <w:b/>
                <w:bCs/>
              </w:rPr>
              <w:t>(1)</w:t>
            </w:r>
          </w:p>
        </w:tc>
        <w:tc>
          <w:tcPr>
            <w:tcW w:w="1530" w:type="pct"/>
            <w:tcBorders>
              <w:top w:val="single" w:sz="2" w:space="0" w:color="272727"/>
              <w:left w:val="nil"/>
              <w:bottom w:val="single" w:sz="2" w:space="0" w:color="272727"/>
              <w:right w:val="single" w:sz="48" w:space="0" w:color="FFFFFF" w:themeColor="background1"/>
            </w:tcBorders>
          </w:tcPr>
          <w:p w14:paraId="28BE90F6" w14:textId="0E892655" w:rsidR="00CC665E" w:rsidRPr="00DD71DA" w:rsidRDefault="00CC665E" w:rsidP="00CC665E">
            <w:pPr>
              <w:pStyle w:val="TabelleText"/>
              <w:spacing w:before="240"/>
            </w:pPr>
            <w:r w:rsidRPr="00DD71DA">
              <w:t xml:space="preserve">Die Zahlungsdienstleister verfügen über Prozesse, die sicherstellen, dass alle Zahlungsvorgänge und anderen Interaktionen mit dem Zahlungsdienstnutzer, mit anderen Zahlungsdienstleistern und mit anderen Einrichtungen, einschließlich Händlern, im </w:t>
            </w:r>
            <w:r w:rsidRPr="00DD71DA">
              <w:lastRenderedPageBreak/>
              <w:t xml:space="preserve">Zusammenhang mit der Bereitstellung des Zahlungsdienstes zurückverfolgt werden können, wobei sichergestellt sein muss, dass von allen für die elektronische Transaktion maßgeblichen Ereignissen in jedem Stadium nachträglich Kenntnis erlangt werden kann. </w:t>
            </w:r>
          </w:p>
        </w:tc>
        <w:tc>
          <w:tcPr>
            <w:tcW w:w="1360" w:type="pct"/>
            <w:tcBorders>
              <w:top w:val="single" w:sz="2" w:space="0" w:color="272727"/>
              <w:left w:val="nil"/>
              <w:bottom w:val="single" w:sz="2" w:space="0" w:color="272727"/>
              <w:right w:val="single" w:sz="48" w:space="0" w:color="FFFFFF" w:themeColor="background1"/>
            </w:tcBorders>
          </w:tcPr>
          <w:p w14:paraId="23E344D8" w14:textId="77777777" w:rsidR="00CC665E" w:rsidRPr="00DD71DA" w:rsidRDefault="00CC665E" w:rsidP="00CC665E">
            <w:pPr>
              <w:pStyle w:val="TabelleText"/>
              <w:spacing w:before="240"/>
            </w:pPr>
            <w:r w:rsidRPr="00DD71DA">
              <w:lastRenderedPageBreak/>
              <w:t xml:space="preserve">Zahlungsdienstleister müssen Prozesse und Mechanismen vorhalten, die eine vollständige Rückverfolgbarkeit aller Zahlungsvorgänge und Interaktionen mit Zahlungsdienstnutzern, anderen Zahlungsdienstleistern und Händlern </w:t>
            </w:r>
            <w:r w:rsidRPr="00DD71DA">
              <w:lastRenderedPageBreak/>
              <w:t>sicherstellen, sodass alle relevanten Ereignisse einer elektronischen Transaktion nachträglich nachvollziehbar sind.</w:t>
            </w:r>
          </w:p>
          <w:p w14:paraId="31CBFE38" w14:textId="60D4CB56" w:rsidR="00CC665E" w:rsidRPr="00DD71DA" w:rsidRDefault="00CC665E" w:rsidP="00CC665E">
            <w:pPr>
              <w:pStyle w:val="TabelleText"/>
              <w:spacing w:before="240"/>
            </w:pPr>
            <w:r w:rsidRPr="00DD71DA">
              <w:t>Um dies sicherzustellen, werden in Abs. 2 konkrete Anforderungen an die Kommunikationssitzungen gestellt.</w:t>
            </w:r>
          </w:p>
        </w:tc>
        <w:tc>
          <w:tcPr>
            <w:tcW w:w="1013" w:type="pct"/>
            <w:tcBorders>
              <w:top w:val="single" w:sz="2" w:space="0" w:color="272727"/>
              <w:left w:val="single" w:sz="48" w:space="0" w:color="FFFFFF" w:themeColor="background1"/>
              <w:bottom w:val="single" w:sz="2" w:space="0" w:color="272727"/>
              <w:right w:val="nil"/>
            </w:tcBorders>
          </w:tcPr>
          <w:p w14:paraId="60636A02" w14:textId="77777777" w:rsidR="00CC665E" w:rsidRPr="00DD71DA" w:rsidRDefault="00CC665E" w:rsidP="00CC665E">
            <w:pPr>
              <w:pStyle w:val="TabelleText"/>
              <w:spacing w:before="240"/>
            </w:pPr>
            <w:r w:rsidRPr="00DD71DA">
              <w:lastRenderedPageBreak/>
              <w:t xml:space="preserve">Können alle für die jeweilige Transaktion maßgeblichen Interaktionen und Zahlungsvorgänge mit dem Zahlungsdienstnutzer und anderen </w:t>
            </w:r>
            <w:r w:rsidRPr="00DD71DA">
              <w:lastRenderedPageBreak/>
              <w:t>Zahlungsdienstleistern (inkl. Händlern) nachvollzogen werden und sind diese rückverfolgbar?</w:t>
            </w:r>
          </w:p>
          <w:p w14:paraId="0E2AD9D7" w14:textId="77777777" w:rsidR="00CC665E" w:rsidRPr="00DD71DA" w:rsidRDefault="00CC665E" w:rsidP="00CC665E">
            <w:pPr>
              <w:pStyle w:val="TabelleText"/>
              <w:spacing w:before="240"/>
            </w:pPr>
            <w:r w:rsidRPr="00DD71DA">
              <w:t>Besitzt jede Kommunikationssitzung eine eindeutige Kennung, einen Zeitstempel (synchronisiert mit einem offiziellen Zeitsignal, z. B. NTP) und alle relevanten Transaktionsdaten (z. B. Transaktionsnummer, consentID/ paymentID) und werden diese Informationen nachvollziehbar protokolliert?</w:t>
            </w:r>
          </w:p>
          <w:p w14:paraId="4DFF0800" w14:textId="77777777" w:rsidR="00CC665E" w:rsidRPr="00DD71DA" w:rsidRDefault="00CC665E" w:rsidP="00CC665E">
            <w:pPr>
              <w:pStyle w:val="TabelleText"/>
              <w:spacing w:before="240"/>
            </w:pPr>
            <w:r w:rsidRPr="00DD71DA">
              <w:t>Ist die Rückverfolgbarkeit auch bei auftretenden Fehlern, Systemausfällen oder Notfallmechanismen ausreichend gewährleistet?</w:t>
            </w:r>
          </w:p>
          <w:p w14:paraId="54221310" w14:textId="77777777" w:rsidR="00CC665E" w:rsidRPr="00DD71DA" w:rsidRDefault="00CC665E" w:rsidP="00CC665E">
            <w:pPr>
              <w:pStyle w:val="TabelleText"/>
              <w:spacing w:before="240"/>
            </w:pPr>
            <w:r w:rsidRPr="00DD71DA">
              <w:t>Sind die verwendeten Systeme und Server an ein einheitliches Zeitreferenzsystem angebunden? (bspw. durch Prüfung, ob alle Server an das NTP-System angeschlossen sind)</w:t>
            </w:r>
          </w:p>
          <w:p w14:paraId="79E47472" w14:textId="7B91A86E" w:rsidR="00CC665E" w:rsidRPr="00DD71DA" w:rsidRDefault="00CC665E" w:rsidP="00DD71DA">
            <w:pPr>
              <w:pStyle w:val="TabelleText"/>
              <w:spacing w:before="240"/>
            </w:pPr>
            <w:r w:rsidRPr="00DD71DA">
              <w:t xml:space="preserve">Stichprobenartige Prüfung der Logdaten auf korrekte Erfassung von Sitzungskennungen, </w:t>
            </w:r>
            <w:r w:rsidRPr="00DD71DA">
              <w:lastRenderedPageBreak/>
              <w:t>Zeitstempeln und Vollständigkeit der Transaktionsdaten.</w:t>
            </w:r>
          </w:p>
        </w:tc>
        <w:tc>
          <w:tcPr>
            <w:tcW w:w="983" w:type="pct"/>
            <w:tcBorders>
              <w:top w:val="single" w:sz="2" w:space="0" w:color="272727"/>
              <w:left w:val="single" w:sz="48" w:space="0" w:color="FFFFFF" w:themeColor="background1"/>
              <w:bottom w:val="single" w:sz="2" w:space="0" w:color="272727"/>
              <w:right w:val="nil"/>
            </w:tcBorders>
          </w:tcPr>
          <w:p w14:paraId="4C542BE7" w14:textId="1DD278F0" w:rsidR="00CC665E" w:rsidRPr="00DD71DA" w:rsidRDefault="00CC665E" w:rsidP="00CC665E">
            <w:pPr>
              <w:pStyle w:val="TabelleText"/>
              <w:spacing w:before="240"/>
            </w:pPr>
            <w:r w:rsidRPr="00DD71DA">
              <w:lastRenderedPageBreak/>
              <w:t xml:space="preserve">Ist die Rückverfolgbarkeit aller relevanten Transaktionen und Kommunikationssitzungen auch beim Dienstleister ausreichend sichergestellt und existieren hierzu ggf. </w:t>
            </w:r>
            <w:r w:rsidRPr="00DD71DA">
              <w:lastRenderedPageBreak/>
              <w:t xml:space="preserve">ausreichende vertragliche Regelungen? </w:t>
            </w:r>
          </w:p>
        </w:tc>
      </w:tr>
      <w:tr w:rsidR="005D70ED" w:rsidRPr="00201374" w14:paraId="3FFB4685"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24E54C13" w14:textId="1F70C760" w:rsidR="00CC665E" w:rsidRPr="00DD71DA" w:rsidRDefault="00CC665E" w:rsidP="00CC665E">
            <w:pPr>
              <w:pStyle w:val="TabelleText"/>
              <w:spacing w:before="240"/>
              <w:rPr>
                <w:b/>
              </w:rPr>
            </w:pPr>
            <w:r w:rsidRPr="00DD71DA">
              <w:rPr>
                <w:b/>
              </w:rPr>
              <w:lastRenderedPageBreak/>
              <w:t>(2)</w:t>
            </w:r>
          </w:p>
        </w:tc>
        <w:tc>
          <w:tcPr>
            <w:tcW w:w="1530" w:type="pct"/>
            <w:tcBorders>
              <w:top w:val="single" w:sz="2" w:space="0" w:color="272727"/>
              <w:left w:val="nil"/>
              <w:bottom w:val="single" w:sz="2" w:space="0" w:color="272727"/>
              <w:right w:val="single" w:sz="48" w:space="0" w:color="FFFFFF" w:themeColor="background1"/>
            </w:tcBorders>
          </w:tcPr>
          <w:p w14:paraId="2E54F4F8" w14:textId="77777777" w:rsidR="00CC665E" w:rsidRPr="00DD71DA" w:rsidRDefault="00CC665E" w:rsidP="00CC665E">
            <w:pPr>
              <w:pStyle w:val="TabelleText"/>
              <w:spacing w:before="240"/>
            </w:pPr>
            <w:r w:rsidRPr="00DD71DA">
              <w:t xml:space="preserve">Für die Zwecke des Abs. 1 gewährleisten die Zahlungsdienstleister, dass jede mit dem Zahlungsdienstnutzer, mit anderen Zahlungsdienstleistern und mit anderen Einrichtungen, einschließlich Händlern, aufgebaute Kommunikationssitzung auf jedem der folgenden Faktoren beruht: </w:t>
            </w:r>
          </w:p>
          <w:p w14:paraId="0A891153" w14:textId="77777777" w:rsidR="00CC665E" w:rsidRPr="00DD71DA" w:rsidRDefault="00CC665E" w:rsidP="00CC665E">
            <w:pPr>
              <w:pStyle w:val="TabelleText"/>
              <w:spacing w:before="240"/>
            </w:pPr>
            <w:r w:rsidRPr="00DD71DA">
              <w:t xml:space="preserve">a) eindeutige Kennung der Sitzung; </w:t>
            </w:r>
          </w:p>
          <w:p w14:paraId="532B731A" w14:textId="77777777" w:rsidR="00CC665E" w:rsidRPr="00DD71DA" w:rsidRDefault="00CC665E" w:rsidP="00CC665E">
            <w:pPr>
              <w:pStyle w:val="TabelleText"/>
              <w:spacing w:before="240"/>
            </w:pPr>
            <w:r w:rsidRPr="00DD71DA">
              <w:t xml:space="preserve">b) Sicherheitsmechanismen für die ausführliche Protokollierung der Transaktion, einschließlich Transaktionsnummer, Zeitstempel und aller maßgeblichen Transaktionsdaten; </w:t>
            </w:r>
          </w:p>
          <w:p w14:paraId="6A1DAC68" w14:textId="1DF78105" w:rsidR="00CC665E" w:rsidRPr="00DD71DA" w:rsidRDefault="00CC665E" w:rsidP="00DD71DA">
            <w:pPr>
              <w:pStyle w:val="TabelleText"/>
              <w:spacing w:before="240"/>
            </w:pPr>
            <w:r w:rsidRPr="00DD71DA">
              <w:t>c) Zeitstempel, die auf einem einheitlichen Zeitreferenzsystem basieren und die entsprechend einem offiziellen Zeitsignal synchronisiert werden.</w:t>
            </w:r>
          </w:p>
        </w:tc>
        <w:tc>
          <w:tcPr>
            <w:tcW w:w="1360" w:type="pct"/>
            <w:tcBorders>
              <w:top w:val="single" w:sz="2" w:space="0" w:color="272727"/>
              <w:left w:val="nil"/>
              <w:bottom w:val="single" w:sz="2" w:space="0" w:color="272727"/>
              <w:right w:val="single" w:sz="48" w:space="0" w:color="FFFFFF" w:themeColor="background1"/>
            </w:tcBorders>
          </w:tcPr>
          <w:p w14:paraId="0F6C0C71" w14:textId="30189950" w:rsidR="00CC665E" w:rsidRPr="00DD71DA" w:rsidRDefault="00CC665E" w:rsidP="00CC665E">
            <w:pPr>
              <w:pStyle w:val="TabelleText"/>
              <w:spacing w:before="240"/>
            </w:pPr>
            <w:r w:rsidRPr="00DD71DA">
              <w:t>Siehe Absatz 1.</w:t>
            </w:r>
          </w:p>
        </w:tc>
        <w:tc>
          <w:tcPr>
            <w:tcW w:w="1013" w:type="pct"/>
            <w:tcBorders>
              <w:top w:val="single" w:sz="2" w:space="0" w:color="272727"/>
              <w:left w:val="single" w:sz="48" w:space="0" w:color="FFFFFF" w:themeColor="background1"/>
              <w:bottom w:val="single" w:sz="2" w:space="0" w:color="272727"/>
              <w:right w:val="nil"/>
            </w:tcBorders>
          </w:tcPr>
          <w:p w14:paraId="3F260BCA" w14:textId="3504FCB0" w:rsidR="00CC665E" w:rsidRPr="00DD71DA" w:rsidRDefault="00CC665E" w:rsidP="00CC665E">
            <w:pPr>
              <w:pStyle w:val="TabelleText"/>
              <w:spacing w:before="240"/>
            </w:pPr>
            <w:r w:rsidRPr="00DD71DA">
              <w:t>Prüfung auf Vorhandensein sowie Angemessenheit und Wirksamkeit der angeforderten Maßnahmen.</w:t>
            </w:r>
          </w:p>
        </w:tc>
        <w:tc>
          <w:tcPr>
            <w:tcW w:w="983" w:type="pct"/>
            <w:tcBorders>
              <w:top w:val="single" w:sz="2" w:space="0" w:color="272727"/>
              <w:left w:val="single" w:sz="48" w:space="0" w:color="FFFFFF" w:themeColor="background1"/>
              <w:bottom w:val="single" w:sz="2" w:space="0" w:color="272727"/>
              <w:right w:val="nil"/>
            </w:tcBorders>
          </w:tcPr>
          <w:p w14:paraId="319F1BD3" w14:textId="77777777" w:rsidR="00CC665E" w:rsidRPr="00DD71DA" w:rsidRDefault="00CC665E" w:rsidP="00CC665E">
            <w:pPr>
              <w:pStyle w:val="TabelleText"/>
              <w:spacing w:before="240"/>
            </w:pPr>
          </w:p>
        </w:tc>
      </w:tr>
      <w:tr w:rsidR="00DD71DA" w:rsidRPr="00201374" w14:paraId="0B03AB06" w14:textId="77777777" w:rsidTr="00DD71DA">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0F7B5F4C" w14:textId="0BA4411C" w:rsidR="00DD71DA" w:rsidRPr="00DD71DA" w:rsidRDefault="00DD71DA" w:rsidP="00254198">
            <w:pPr>
              <w:pStyle w:val="TabelleText"/>
              <w:rPr>
                <w:b/>
                <w:bCs/>
              </w:rPr>
            </w:pPr>
            <w:r w:rsidRPr="00DD71DA">
              <w:rPr>
                <w:b/>
                <w:bCs/>
              </w:rPr>
              <w:t>Abschnitt 2 Besondere Anforderungen an gemeinsame und sichere offene Kommunikationsstandards</w:t>
            </w:r>
          </w:p>
        </w:tc>
      </w:tr>
      <w:tr w:rsidR="00DD71DA" w:rsidRPr="00201374" w14:paraId="5E208EC0" w14:textId="77777777" w:rsidTr="00DD71DA">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22FCFA71" w14:textId="57AB5DF4" w:rsidR="00DD71DA" w:rsidRPr="00DD71DA" w:rsidRDefault="00DD71DA" w:rsidP="00254198">
            <w:pPr>
              <w:pStyle w:val="TabelleText"/>
              <w:rPr>
                <w:b/>
                <w:bCs/>
              </w:rPr>
            </w:pPr>
            <w:r w:rsidRPr="00DD71DA">
              <w:rPr>
                <w:b/>
                <w:bCs/>
              </w:rPr>
              <w:t>Artikel 30 - Allgemeine Anforderungen an Zugangsschnittstellen</w:t>
            </w:r>
          </w:p>
        </w:tc>
      </w:tr>
      <w:tr w:rsidR="005D70ED" w:rsidRPr="00201374" w14:paraId="65B5F0FC"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18BCD1EF" w14:textId="3170ACCC" w:rsidR="00CC665E" w:rsidRPr="00DD71DA" w:rsidRDefault="00DD71DA" w:rsidP="00DD71DA">
            <w:pPr>
              <w:pStyle w:val="TabelleText"/>
              <w:spacing w:before="240"/>
              <w:rPr>
                <w:b/>
                <w:bCs/>
              </w:rPr>
            </w:pPr>
            <w:r w:rsidRPr="00DD71DA">
              <w:rPr>
                <w:b/>
                <w:bCs/>
              </w:rPr>
              <w:t>(1)</w:t>
            </w:r>
          </w:p>
        </w:tc>
        <w:tc>
          <w:tcPr>
            <w:tcW w:w="1530" w:type="pct"/>
            <w:tcBorders>
              <w:top w:val="single" w:sz="2" w:space="0" w:color="272727"/>
              <w:left w:val="nil"/>
              <w:bottom w:val="single" w:sz="2" w:space="0" w:color="272727"/>
              <w:right w:val="single" w:sz="48" w:space="0" w:color="FFFFFF" w:themeColor="background1"/>
            </w:tcBorders>
          </w:tcPr>
          <w:p w14:paraId="43C207F1" w14:textId="77777777" w:rsidR="00CC665E" w:rsidRPr="00DD71DA" w:rsidRDefault="00CC665E" w:rsidP="00DD71DA">
            <w:pPr>
              <w:pStyle w:val="TabelleText"/>
              <w:spacing w:before="240"/>
            </w:pPr>
            <w:r w:rsidRPr="00DD71DA">
              <w:t xml:space="preserve">Kontoführende Zahlungsdienstleister, die einem Zahler ein online zugängliches Zahlungskonto bereitstellen, haben mindestens eine Schnittstelle eingerichtet, die alle folgenden Anforderungen erfüllt: </w:t>
            </w:r>
          </w:p>
          <w:p w14:paraId="6DB2D53F" w14:textId="77777777" w:rsidR="00CC665E" w:rsidRPr="00DD71DA" w:rsidRDefault="00CC665E" w:rsidP="00DD71DA">
            <w:pPr>
              <w:pStyle w:val="TabelleText"/>
              <w:spacing w:before="240"/>
            </w:pPr>
            <w:r w:rsidRPr="00DD71DA">
              <w:lastRenderedPageBreak/>
              <w:t xml:space="preserve">a) Kontoinformationsdienstleister, Zahlungsauslösedienstleister und Zahlungsdienstleister, die kartengebundene Zahlungsinstrumente ausstellen, können sich gegenüber dem kontoführenden Zahlungsdienstleister identifizieren. </w:t>
            </w:r>
          </w:p>
          <w:p w14:paraId="5746551A" w14:textId="77777777" w:rsidR="00CC665E" w:rsidRPr="00DD71DA" w:rsidRDefault="00CC665E" w:rsidP="00DD71DA">
            <w:pPr>
              <w:pStyle w:val="TabelleText"/>
              <w:spacing w:before="240"/>
            </w:pPr>
            <w:r w:rsidRPr="00DD71DA">
              <w:t>b) Kontoinformationsdienstleister können auf sichere Weise kommunizieren, um Informationen über ein oder mehrere bezeichnete Zahlungskonten und damit in Zusammenhang stehende Zahlungsvorgänge anzufordern und zu empfangen.</w:t>
            </w:r>
          </w:p>
          <w:p w14:paraId="4D8C733D" w14:textId="3E282111" w:rsidR="00CC665E" w:rsidRPr="00DD71DA" w:rsidRDefault="00CC665E" w:rsidP="00DD71DA">
            <w:pPr>
              <w:pStyle w:val="TabelleText"/>
              <w:spacing w:before="240"/>
            </w:pPr>
            <w:r w:rsidRPr="00DD71DA">
              <w:t xml:space="preserve"> c) Zahlungsauslösedienstleister können auf sichere Weise kommunizieren, um einen Zahlungsauftrag für das Zahlungskonto des Zahlers auszulösen und alle Informationen über die Auslösung des Zahlungsvorgangs sowie alle den kontoführenden Zahlungsdienstleistern zugänglichen Informationen in Bezug auf die Ausführung des Zahlungsvorgangs zu empfangen. </w:t>
            </w:r>
          </w:p>
        </w:tc>
        <w:tc>
          <w:tcPr>
            <w:tcW w:w="1360" w:type="pct"/>
            <w:tcBorders>
              <w:top w:val="single" w:sz="2" w:space="0" w:color="272727"/>
              <w:left w:val="nil"/>
              <w:bottom w:val="single" w:sz="2" w:space="0" w:color="272727"/>
              <w:right w:val="single" w:sz="48" w:space="0" w:color="FFFFFF" w:themeColor="background1"/>
            </w:tcBorders>
          </w:tcPr>
          <w:p w14:paraId="202DCF7E" w14:textId="2272A578" w:rsidR="00CC665E" w:rsidRPr="00DD71DA" w:rsidRDefault="00CC665E" w:rsidP="00DD71DA">
            <w:pPr>
              <w:pStyle w:val="TabelleText"/>
              <w:spacing w:before="240"/>
            </w:pPr>
            <w:r w:rsidRPr="00DD71DA">
              <w:lastRenderedPageBreak/>
              <w:t xml:space="preserve">Kontoführende Zahlungsdienstleister sind verpflichtet, mindestens eine sichere Schnittstelle bereitzustellen, über die Drittanbieter (Kontoinformations-dienstleister, Zahlungsauslösedienstleister, kartenausgebende Zahlungsdienstleister) sich identifizieren, </w:t>
            </w:r>
            <w:r w:rsidRPr="00DD71DA">
              <w:lastRenderedPageBreak/>
              <w:t>authentifizieren und auf Kontoinformationen bzw. Zahlungsdienste zugreifen können, wobei die Schnittstelle internationale/ europäische Standards erfüllen und dokumentiert sein muss.</w:t>
            </w:r>
          </w:p>
        </w:tc>
        <w:tc>
          <w:tcPr>
            <w:tcW w:w="1013" w:type="pct"/>
            <w:tcBorders>
              <w:top w:val="single" w:sz="2" w:space="0" w:color="272727"/>
              <w:left w:val="single" w:sz="48" w:space="0" w:color="FFFFFF" w:themeColor="background1"/>
              <w:bottom w:val="single" w:sz="2" w:space="0" w:color="272727"/>
              <w:right w:val="nil"/>
            </w:tcBorders>
          </w:tcPr>
          <w:p w14:paraId="53397F35" w14:textId="77777777" w:rsidR="00CC665E" w:rsidRPr="00DD71DA" w:rsidRDefault="00CC665E" w:rsidP="00DD71DA">
            <w:pPr>
              <w:pStyle w:val="TabelleText"/>
              <w:spacing w:before="240"/>
            </w:pPr>
            <w:r w:rsidRPr="00DD71DA">
              <w:lastRenderedPageBreak/>
              <w:t xml:space="preserve">Existieren eine oder mehrere Zugangsschnittstellen, die den Anforderungen an Identifikation, Authentifizierung und sichere </w:t>
            </w:r>
            <w:r w:rsidRPr="00DD71DA">
              <w:lastRenderedPageBreak/>
              <w:t>Kommunikation mit Drittanbietern entsprechen?</w:t>
            </w:r>
          </w:p>
          <w:p w14:paraId="1320C679" w14:textId="77777777" w:rsidR="00CC665E" w:rsidRPr="00DD71DA" w:rsidRDefault="00CC665E" w:rsidP="00DD71DA">
            <w:pPr>
              <w:pStyle w:val="TabelleText"/>
              <w:spacing w:before="240"/>
            </w:pPr>
            <w:r w:rsidRPr="00DD71DA">
              <w:t>Wie können sich TPPs dem Kreditinstitut gegenüber identifizieren?</w:t>
            </w:r>
          </w:p>
          <w:p w14:paraId="187DD092" w14:textId="547B5344" w:rsidR="00CC665E" w:rsidRPr="00DD71DA" w:rsidRDefault="00CC665E" w:rsidP="00DD71DA">
            <w:pPr>
              <w:pStyle w:val="TabelleText"/>
              <w:spacing w:before="240"/>
            </w:pPr>
            <w:r w:rsidRPr="00DD71DA">
              <w:t>Wie wird die sichere Kommunikation zwischen TPPs und dem Kreditinstitut über die Schnittstelle sichergestellt, um Informationen anzufordern, zu empfangen oder Zahlungsaufträge zu erteilen?</w:t>
            </w:r>
          </w:p>
        </w:tc>
        <w:tc>
          <w:tcPr>
            <w:tcW w:w="983" w:type="pct"/>
            <w:tcBorders>
              <w:top w:val="single" w:sz="2" w:space="0" w:color="272727"/>
              <w:left w:val="single" w:sz="48" w:space="0" w:color="FFFFFF" w:themeColor="background1"/>
              <w:bottom w:val="single" w:sz="2" w:space="0" w:color="272727"/>
              <w:right w:val="nil"/>
            </w:tcBorders>
          </w:tcPr>
          <w:p w14:paraId="5F1B9891" w14:textId="77777777" w:rsidR="00CC665E" w:rsidRPr="00DD71DA" w:rsidRDefault="00CC665E" w:rsidP="00DD71DA">
            <w:pPr>
              <w:pStyle w:val="TabelleText"/>
              <w:spacing w:before="240"/>
            </w:pPr>
            <w:r w:rsidRPr="00DD71DA">
              <w:lastRenderedPageBreak/>
              <w:t xml:space="preserve">Existieren angemessene vertragliche Regelungen zur Sicherstellung der regulatorischen Anforderungen an die Sicherheit, die Authentifizierung, die Dokumentation, die Kommunikation, die </w:t>
            </w:r>
            <w:r w:rsidRPr="00DD71DA">
              <w:lastRenderedPageBreak/>
              <w:t>Bereitstellung der Testumgebung sowie zum Notfall- und Changemanagement-prozess?</w:t>
            </w:r>
          </w:p>
          <w:p w14:paraId="2DB72291" w14:textId="06E32E7E" w:rsidR="00CC665E" w:rsidRPr="00DD71DA" w:rsidRDefault="00CC665E" w:rsidP="00DD71DA">
            <w:pPr>
              <w:pStyle w:val="TabelleText"/>
              <w:spacing w:before="240"/>
            </w:pPr>
            <w:r w:rsidRPr="00DD71DA">
              <w:t>Werden Änderungen sowie Notfallsituationen ordnungsgemäß dokumentiert und kommuniziert?</w:t>
            </w:r>
          </w:p>
        </w:tc>
      </w:tr>
      <w:tr w:rsidR="005D70ED" w:rsidRPr="00201374" w14:paraId="039386D2"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729254FC" w14:textId="3605398C" w:rsidR="00CC665E" w:rsidRPr="00201374" w:rsidRDefault="00DD71DA" w:rsidP="00DD71DA">
            <w:pPr>
              <w:pStyle w:val="TabelleText"/>
              <w:spacing w:before="240"/>
              <w:rPr>
                <w:b/>
                <w:bCs/>
                <w:sz w:val="20"/>
                <w:szCs w:val="20"/>
              </w:rPr>
            </w:pPr>
            <w:r>
              <w:rPr>
                <w:b/>
                <w:bCs/>
                <w:sz w:val="20"/>
                <w:szCs w:val="20"/>
              </w:rPr>
              <w:lastRenderedPageBreak/>
              <w:t>(2)</w:t>
            </w:r>
          </w:p>
        </w:tc>
        <w:tc>
          <w:tcPr>
            <w:tcW w:w="1530" w:type="pct"/>
            <w:tcBorders>
              <w:top w:val="single" w:sz="2" w:space="0" w:color="272727"/>
              <w:left w:val="nil"/>
              <w:bottom w:val="single" w:sz="2" w:space="0" w:color="272727"/>
              <w:right w:val="single" w:sz="48" w:space="0" w:color="FFFFFF" w:themeColor="background1"/>
            </w:tcBorders>
          </w:tcPr>
          <w:p w14:paraId="34BF4F8F" w14:textId="77777777" w:rsidR="00CC665E" w:rsidRPr="00DD71DA" w:rsidRDefault="00CC665E" w:rsidP="00DD71DA">
            <w:pPr>
              <w:pStyle w:val="TabelleText"/>
              <w:spacing w:before="240"/>
            </w:pPr>
            <w:r w:rsidRPr="00DD71DA">
              <w:t xml:space="preserve">Zur Authentifizierung des Zahlungsdienstnutzers ermöglicht es die in Abs. 1 genannte Schnittstelle, dass Kontoinformationsdienstleister und Zahlungsauslösedienstleister sich auf alle Authentifizierungsverfahren verlassen können, die dem Zahlungsdienstnutzer vom kontoführenden Zahlungsdienstleister bereitgestellt werden. </w:t>
            </w:r>
          </w:p>
          <w:p w14:paraId="23274649" w14:textId="77777777" w:rsidR="00CC665E" w:rsidRPr="00DD71DA" w:rsidRDefault="00CC665E" w:rsidP="00DD71DA">
            <w:pPr>
              <w:pStyle w:val="TabelleText"/>
              <w:spacing w:before="240"/>
            </w:pPr>
            <w:r w:rsidRPr="00DD71DA">
              <w:lastRenderedPageBreak/>
              <w:t xml:space="preserve">Die Schnittstelle muss zumindest alle folgenden Anforderungen erfüllen: </w:t>
            </w:r>
          </w:p>
          <w:p w14:paraId="490623B8" w14:textId="77777777" w:rsidR="00CC665E" w:rsidRPr="00DD71DA" w:rsidRDefault="00CC665E" w:rsidP="00DD71DA">
            <w:pPr>
              <w:pStyle w:val="TabelleText"/>
              <w:spacing w:before="240"/>
            </w:pPr>
            <w:r w:rsidRPr="00DD71DA">
              <w:t>a) Ein Zahlungsauslösedienstleister oder ein Kontoinformationsdienstleister kann den kontoführenden Zahlungsdienstleister ausgehend von der Zustimmung des Zahlungsdienstnutzers anweisen, mit der Authentifizierung zu beginnen.</w:t>
            </w:r>
          </w:p>
          <w:p w14:paraId="75B46927" w14:textId="77777777" w:rsidR="00CC665E" w:rsidRPr="00DD71DA" w:rsidRDefault="00CC665E" w:rsidP="00DD71DA">
            <w:pPr>
              <w:pStyle w:val="TabelleText"/>
              <w:spacing w:before="240"/>
            </w:pPr>
            <w:r w:rsidRPr="00DD71DA">
              <w:t xml:space="preserve">b) Während der Authentifizierung werden Kommunikationssitzungen zwischen dem kontoführenden Zahlungsdienstleister, dem Kontoinformationsdienstleister, dem Zahlungsauslösedienstleister und dem betreffenden Zahlungsdienstnutzer aufgebaut und aufrechterhalten. </w:t>
            </w:r>
          </w:p>
          <w:p w14:paraId="18D9551F" w14:textId="24896CAF" w:rsidR="00CC665E" w:rsidRPr="00DD71DA" w:rsidRDefault="00CC665E" w:rsidP="00DD71DA">
            <w:pPr>
              <w:pStyle w:val="TabelleText"/>
              <w:spacing w:before="240"/>
            </w:pPr>
            <w:r w:rsidRPr="00DD71DA">
              <w:t xml:space="preserve">c) Integrität und Vertraulichkeit der personalisierten Sicherheitsmerkmale und der Authentifizierungscodes, die durch oder über den Zahlungsauslösedienstleister oder den Kontoinformationsdienstleister übertragen werden, sind gewährleistet. </w:t>
            </w:r>
          </w:p>
        </w:tc>
        <w:tc>
          <w:tcPr>
            <w:tcW w:w="1360" w:type="pct"/>
            <w:tcBorders>
              <w:top w:val="single" w:sz="2" w:space="0" w:color="272727"/>
              <w:left w:val="nil"/>
              <w:bottom w:val="single" w:sz="2" w:space="0" w:color="272727"/>
              <w:right w:val="single" w:sz="48" w:space="0" w:color="FFFFFF" w:themeColor="background1"/>
            </w:tcBorders>
          </w:tcPr>
          <w:p w14:paraId="64A3583B" w14:textId="1A30FE37" w:rsidR="00CC665E" w:rsidRPr="00DD71DA" w:rsidRDefault="00CC665E" w:rsidP="00DD71DA">
            <w:pPr>
              <w:pStyle w:val="TabelleText"/>
              <w:spacing w:before="240"/>
            </w:pPr>
            <w:r w:rsidRPr="00DD71DA">
              <w:lastRenderedPageBreak/>
              <w:t>Siehe Absatz 1.</w:t>
            </w:r>
          </w:p>
        </w:tc>
        <w:tc>
          <w:tcPr>
            <w:tcW w:w="1013" w:type="pct"/>
            <w:tcBorders>
              <w:top w:val="single" w:sz="2" w:space="0" w:color="272727"/>
              <w:left w:val="single" w:sz="48" w:space="0" w:color="FFFFFF" w:themeColor="background1"/>
              <w:bottom w:val="single" w:sz="2" w:space="0" w:color="272727"/>
              <w:right w:val="nil"/>
            </w:tcBorders>
          </w:tcPr>
          <w:p w14:paraId="4D8B5D82" w14:textId="77777777" w:rsidR="00CC665E" w:rsidRPr="00DD71DA" w:rsidRDefault="00CC665E" w:rsidP="00DD71DA">
            <w:pPr>
              <w:pStyle w:val="TabelleText"/>
              <w:spacing w:before="240"/>
            </w:pPr>
            <w:r w:rsidRPr="00DD71DA">
              <w:t>Unterstützt die bereitgestellte Schnittstelle die Authentifizierungsverfahren des Zahlungsdienstnutzers und wird eine ausreichende Integrität sowie Vertraulichkeit der übertragenen Daten gewährleistet?</w:t>
            </w:r>
          </w:p>
          <w:p w14:paraId="6D670DFD" w14:textId="77777777" w:rsidR="00CC665E" w:rsidRPr="00DD71DA" w:rsidRDefault="00CC665E" w:rsidP="00DD71DA">
            <w:pPr>
              <w:pStyle w:val="TabelleText"/>
              <w:spacing w:before="240"/>
            </w:pPr>
            <w:r w:rsidRPr="00DD71DA">
              <w:lastRenderedPageBreak/>
              <w:t>Wie wird die Integrität der übermittelten Daten geschützt?</w:t>
            </w:r>
          </w:p>
          <w:p w14:paraId="37DCEC25" w14:textId="77777777" w:rsidR="00CC665E" w:rsidRPr="00DD71DA" w:rsidRDefault="00CC665E" w:rsidP="00DD71DA">
            <w:pPr>
              <w:pStyle w:val="TabelleText"/>
              <w:spacing w:before="240"/>
            </w:pPr>
            <w:r w:rsidRPr="00DD71DA">
              <w:t>Wie ist der Authentifizierungsprozess für Drittdienstleister bzw. deren Zahlungsdienstenutzer aufgesetzt?</w:t>
            </w:r>
          </w:p>
          <w:p w14:paraId="37922C07" w14:textId="77777777" w:rsidR="00CC665E" w:rsidRPr="00DD71DA" w:rsidRDefault="00CC665E" w:rsidP="00DD71DA">
            <w:pPr>
              <w:pStyle w:val="TabelleText"/>
              <w:spacing w:before="240"/>
            </w:pPr>
            <w:r w:rsidRPr="00DD71DA">
              <w:t>Wie werden die Kommunikationssitzungen aufgebaut und aufrechterhalten bzw. wie wird die Stabilität sichergestellt?</w:t>
            </w:r>
          </w:p>
          <w:p w14:paraId="697CC4B2" w14:textId="5BD52614" w:rsidR="00CC665E" w:rsidRPr="00DD71DA" w:rsidRDefault="00CC665E" w:rsidP="00DD71DA">
            <w:pPr>
              <w:pStyle w:val="TabelleText"/>
              <w:spacing w:before="240"/>
            </w:pPr>
            <w:r w:rsidRPr="00DD71DA">
              <w:t>Wie werden die Integrität und die Vertraulichkeit, der im Rahmen des Authentifizierungsvorgangs übertragenen personalisierten Sicherheitsmerkmale und der Authentifizierungscodes, gewährleistet?</w:t>
            </w:r>
          </w:p>
        </w:tc>
        <w:tc>
          <w:tcPr>
            <w:tcW w:w="983" w:type="pct"/>
            <w:tcBorders>
              <w:top w:val="single" w:sz="2" w:space="0" w:color="272727"/>
              <w:left w:val="single" w:sz="48" w:space="0" w:color="FFFFFF" w:themeColor="background1"/>
              <w:bottom w:val="single" w:sz="2" w:space="0" w:color="272727"/>
              <w:right w:val="nil"/>
            </w:tcBorders>
          </w:tcPr>
          <w:p w14:paraId="7292C4C4" w14:textId="77777777" w:rsidR="00CC665E" w:rsidRPr="00201374" w:rsidRDefault="00CC665E" w:rsidP="00DD71DA">
            <w:pPr>
              <w:pStyle w:val="TabelleText"/>
              <w:spacing w:before="240"/>
            </w:pPr>
          </w:p>
        </w:tc>
      </w:tr>
      <w:tr w:rsidR="005D70ED" w:rsidRPr="00201374" w14:paraId="1B5FCFBB"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2C803900" w14:textId="010CF733" w:rsidR="00CC665E" w:rsidRPr="00DD71DA" w:rsidRDefault="00DD71DA" w:rsidP="00DD71DA">
            <w:pPr>
              <w:pStyle w:val="TabelleText"/>
              <w:spacing w:before="240"/>
              <w:rPr>
                <w:b/>
                <w:bCs/>
              </w:rPr>
            </w:pPr>
            <w:r w:rsidRPr="00DD71DA">
              <w:rPr>
                <w:b/>
                <w:bCs/>
              </w:rPr>
              <w:t>(3)</w:t>
            </w:r>
          </w:p>
        </w:tc>
        <w:tc>
          <w:tcPr>
            <w:tcW w:w="1530" w:type="pct"/>
            <w:tcBorders>
              <w:top w:val="single" w:sz="2" w:space="0" w:color="272727"/>
              <w:left w:val="nil"/>
              <w:bottom w:val="single" w:sz="2" w:space="0" w:color="272727"/>
              <w:right w:val="single" w:sz="48" w:space="0" w:color="FFFFFF" w:themeColor="background1"/>
            </w:tcBorders>
          </w:tcPr>
          <w:p w14:paraId="5DDF98E7" w14:textId="77777777" w:rsidR="00CC665E" w:rsidRPr="00DD71DA" w:rsidRDefault="00CC665E" w:rsidP="00DD71DA">
            <w:pPr>
              <w:pStyle w:val="TabelleText"/>
              <w:spacing w:before="240"/>
            </w:pPr>
            <w:r w:rsidRPr="00DD71DA">
              <w:t xml:space="preserve">Die kontoführenden Zahlungsdienstleister gewährleisten, dass ihre Schnittstellen, die von internationalen oder europäischen Standardisierungsorganisationen ausgegebenen Kommunikationsstandards erfüllen. </w:t>
            </w:r>
          </w:p>
          <w:p w14:paraId="3BAC7F8A" w14:textId="77777777" w:rsidR="00CC665E" w:rsidRPr="00DD71DA" w:rsidRDefault="00CC665E" w:rsidP="00DD71DA">
            <w:pPr>
              <w:pStyle w:val="TabelleText"/>
              <w:spacing w:before="240"/>
            </w:pPr>
            <w:r w:rsidRPr="00DD71DA">
              <w:t xml:space="preserve">Die kontoführenden Zahlungsdienstleister gewährleisten zudem, dass die technische Spezifikation </w:t>
            </w:r>
            <w:r w:rsidRPr="00DD71DA">
              <w:lastRenderedPageBreak/>
              <w:t>einer jeden Schnittstelle dokumentiert ist und die Routinen, Protokolle und Tools angibt, die von Zahlungsauslösedienstleistern, Kontoinformationsdienstleistern und Zahlungsdienstleistern, die kartengebundene Zahlungsinstrumente ausstellen, benötigt werden, damit die Interoperabilität ihrer Software und ihrer Anwendungen mit den Systemen der kontoführenden Zahlungsdienstleister gegeben ist.</w:t>
            </w:r>
          </w:p>
          <w:p w14:paraId="71A6280F" w14:textId="471B3171" w:rsidR="00CC665E" w:rsidRPr="00DD71DA" w:rsidRDefault="00CC665E" w:rsidP="00DD71DA">
            <w:pPr>
              <w:pStyle w:val="TabelleText"/>
              <w:spacing w:before="240"/>
              <w:rPr>
                <w:b/>
                <w:bCs/>
              </w:rPr>
            </w:pPr>
            <w:r w:rsidRPr="00DD71DA">
              <w:t xml:space="preserve">Die kontoführenden Zahlungsdienstleister machen zumindest die auf die Zugangsschnittstelle bezogene Dokumentation spätestens sechs Monate vor dem in Art. 38 Abs. 2 genannten Geltungsbeginn oder vor dem anvisierten Termin der Markteinführung der Zugangsschnittstelle, wenn die Einführung nach dem in Art. 38 Abs. 2 angegebenen Datum erfolgt, auf Verlangen der zugelassenen Zahlungsauslösedienstleister, Kontoinformationsdienstleister und Zahlungsdienstleister, die kartengebundene Zahlungsinstrumente ausstellen, oder der Zahlungsdienstleister, die ihre entsprechende Zulassung bei den zuständigen Behörden beantragt haben, kostenfrei zugänglich und veröffentlichen eine Zusammenfassung der Dokumentation auf ihrer Website. </w:t>
            </w:r>
          </w:p>
        </w:tc>
        <w:tc>
          <w:tcPr>
            <w:tcW w:w="1360" w:type="pct"/>
            <w:tcBorders>
              <w:top w:val="single" w:sz="2" w:space="0" w:color="272727"/>
              <w:left w:val="nil"/>
              <w:bottom w:val="single" w:sz="2" w:space="0" w:color="272727"/>
              <w:right w:val="single" w:sz="48" w:space="0" w:color="FFFFFF" w:themeColor="background1"/>
            </w:tcBorders>
          </w:tcPr>
          <w:p w14:paraId="0E5BAACF" w14:textId="7636855F" w:rsidR="00CC665E" w:rsidRPr="00DD71DA" w:rsidRDefault="00CC665E" w:rsidP="00DD71DA">
            <w:pPr>
              <w:pStyle w:val="TabelleText"/>
              <w:spacing w:before="240"/>
              <w:rPr>
                <w:b/>
                <w:bCs/>
              </w:rPr>
            </w:pPr>
            <w:r w:rsidRPr="00DD71DA">
              <w:lastRenderedPageBreak/>
              <w:t>Anforderung an die Dokumentation und die Veröffentlichung der Schnittstellenspezifikation.</w:t>
            </w:r>
          </w:p>
        </w:tc>
        <w:tc>
          <w:tcPr>
            <w:tcW w:w="1013" w:type="pct"/>
            <w:tcBorders>
              <w:top w:val="single" w:sz="2" w:space="0" w:color="272727"/>
              <w:left w:val="single" w:sz="48" w:space="0" w:color="FFFFFF" w:themeColor="background1"/>
              <w:bottom w:val="single" w:sz="2" w:space="0" w:color="272727"/>
              <w:right w:val="nil"/>
            </w:tcBorders>
          </w:tcPr>
          <w:p w14:paraId="4BFD0242" w14:textId="77777777" w:rsidR="00CC665E" w:rsidRPr="00DD71DA" w:rsidRDefault="00CC665E" w:rsidP="00DD71DA">
            <w:pPr>
              <w:pStyle w:val="TabelleText"/>
              <w:spacing w:before="240"/>
            </w:pPr>
            <w:r w:rsidRPr="00DD71DA">
              <w:t>Welche Kommunikationsstandards werden verwendet und entsprechen diese einem anerkannten internationalen oder europäischen Standard (z. B. Berlin Group)?</w:t>
            </w:r>
          </w:p>
          <w:p w14:paraId="43DCC743" w14:textId="77777777" w:rsidR="00CC665E" w:rsidRPr="00DD71DA" w:rsidRDefault="00CC665E" w:rsidP="00DD71DA">
            <w:pPr>
              <w:pStyle w:val="TabelleText"/>
              <w:spacing w:before="240"/>
            </w:pPr>
            <w:r w:rsidRPr="00DD71DA">
              <w:lastRenderedPageBreak/>
              <w:t>Sind die technischen Spezifikationen der Schnittstelle (u. a. verwendete Routinen, Protokolle und Tools) angemessen dokumentiert, aktuell gehalten und für Dritte kostenfrei zugänglich?</w:t>
            </w:r>
          </w:p>
          <w:p w14:paraId="6DB47547" w14:textId="77777777" w:rsidR="00CC665E" w:rsidRPr="00DD71DA" w:rsidRDefault="00CC665E" w:rsidP="00DD71DA">
            <w:pPr>
              <w:pStyle w:val="TabelleText"/>
              <w:spacing w:before="240"/>
              <w:rPr>
                <w:b/>
                <w:bCs/>
              </w:rPr>
            </w:pPr>
          </w:p>
        </w:tc>
        <w:tc>
          <w:tcPr>
            <w:tcW w:w="983" w:type="pct"/>
            <w:tcBorders>
              <w:top w:val="single" w:sz="2" w:space="0" w:color="272727"/>
              <w:left w:val="single" w:sz="48" w:space="0" w:color="FFFFFF" w:themeColor="background1"/>
              <w:bottom w:val="single" w:sz="2" w:space="0" w:color="272727"/>
              <w:right w:val="nil"/>
            </w:tcBorders>
          </w:tcPr>
          <w:p w14:paraId="3F0419D5" w14:textId="77777777" w:rsidR="00CC665E" w:rsidRPr="00DD71DA" w:rsidRDefault="00CC665E" w:rsidP="00DD71DA">
            <w:pPr>
              <w:pStyle w:val="TabelleText"/>
              <w:spacing w:before="240"/>
            </w:pPr>
          </w:p>
        </w:tc>
      </w:tr>
      <w:tr w:rsidR="005D70ED" w:rsidRPr="00201374" w14:paraId="625226D4"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780668D4" w14:textId="35F2A2CF" w:rsidR="00CC665E" w:rsidRPr="00DD71DA" w:rsidRDefault="00DD71DA" w:rsidP="00DD71DA">
            <w:pPr>
              <w:pStyle w:val="TabelleText"/>
              <w:spacing w:before="240"/>
              <w:rPr>
                <w:b/>
                <w:bCs/>
              </w:rPr>
            </w:pPr>
            <w:r w:rsidRPr="00DD71DA">
              <w:rPr>
                <w:b/>
                <w:bCs/>
              </w:rPr>
              <w:t>(4)</w:t>
            </w:r>
          </w:p>
        </w:tc>
        <w:tc>
          <w:tcPr>
            <w:tcW w:w="1530" w:type="pct"/>
            <w:tcBorders>
              <w:top w:val="single" w:sz="2" w:space="0" w:color="272727"/>
              <w:left w:val="nil"/>
              <w:bottom w:val="single" w:sz="2" w:space="0" w:color="272727"/>
              <w:right w:val="single" w:sz="48" w:space="0" w:color="FFFFFF" w:themeColor="background1"/>
            </w:tcBorders>
          </w:tcPr>
          <w:p w14:paraId="1256F49B" w14:textId="77777777" w:rsidR="00CC665E" w:rsidRPr="00DD71DA" w:rsidRDefault="00CC665E" w:rsidP="00DD71DA">
            <w:pPr>
              <w:pStyle w:val="TabelleText"/>
              <w:spacing w:before="240"/>
            </w:pPr>
            <w:r w:rsidRPr="00DD71DA">
              <w:t xml:space="preserve">Zusätzlich zu Abs. 3 gewährleisten die kontoführenden Zahlungsdienstleister, dass sie, Notfallsituationen ausgenommen, jegliche Änderung der technischen Spezifikation ihrer Schnittstelle den zugelassenen Zahlungsauslösedienstleistern, </w:t>
            </w:r>
            <w:r w:rsidRPr="00DD71DA">
              <w:lastRenderedPageBreak/>
              <w:t xml:space="preserve">Kontoinformationsdienstleistern und Zahlungsdienstleistern, die kartengebundene Zahlungsinstrumente ausstellen, oder Zahlungsdienstleistern, die ihre entsprechende Zulassung bei den zuständigen Behörden beantragt haben, so bald wie möglich und nicht später als drei Monate vor Implementierung der Änderung im Voraus zur Verfügung stellen. </w:t>
            </w:r>
          </w:p>
          <w:p w14:paraId="0B7D8406" w14:textId="02C6621F" w:rsidR="00CC665E" w:rsidRPr="00DD71DA" w:rsidRDefault="00CC665E" w:rsidP="00DD71DA">
            <w:pPr>
              <w:pStyle w:val="TabelleText"/>
              <w:spacing w:before="240"/>
              <w:rPr>
                <w:b/>
                <w:bCs/>
              </w:rPr>
            </w:pPr>
            <w:r w:rsidRPr="00DD71DA">
              <w:t xml:space="preserve">Die Zahlungsdienstleister dokumentieren Notfallsituationen, in denen Änderungen implementiert wurden, und machen die Dokumentation den zuständigen Behörden auf Verlangen zugänglich. </w:t>
            </w:r>
          </w:p>
        </w:tc>
        <w:tc>
          <w:tcPr>
            <w:tcW w:w="1360" w:type="pct"/>
            <w:tcBorders>
              <w:top w:val="single" w:sz="2" w:space="0" w:color="272727"/>
              <w:left w:val="nil"/>
              <w:bottom w:val="single" w:sz="2" w:space="0" w:color="272727"/>
              <w:right w:val="single" w:sz="48" w:space="0" w:color="FFFFFF" w:themeColor="background1"/>
            </w:tcBorders>
          </w:tcPr>
          <w:p w14:paraId="693EA1F5" w14:textId="2B3E8AC2" w:rsidR="00CC665E" w:rsidRPr="00DD71DA" w:rsidRDefault="00CC665E" w:rsidP="00DD71DA">
            <w:pPr>
              <w:pStyle w:val="TabelleText"/>
              <w:spacing w:before="240"/>
              <w:rPr>
                <w:b/>
                <w:bCs/>
              </w:rPr>
            </w:pPr>
            <w:r w:rsidRPr="00DD71DA">
              <w:lastRenderedPageBreak/>
              <w:t>Anforderung an die Bereitstellung von Informationen bei technischen Änderungen an der Schnittstelle.</w:t>
            </w:r>
          </w:p>
        </w:tc>
        <w:tc>
          <w:tcPr>
            <w:tcW w:w="1013" w:type="pct"/>
            <w:tcBorders>
              <w:top w:val="single" w:sz="2" w:space="0" w:color="272727"/>
              <w:left w:val="single" w:sz="48" w:space="0" w:color="FFFFFF" w:themeColor="background1"/>
              <w:bottom w:val="single" w:sz="2" w:space="0" w:color="272727"/>
              <w:right w:val="nil"/>
            </w:tcBorders>
          </w:tcPr>
          <w:p w14:paraId="47BCD215" w14:textId="77777777" w:rsidR="00CC665E" w:rsidRPr="00DD71DA" w:rsidRDefault="00CC665E" w:rsidP="00DD71DA">
            <w:pPr>
              <w:pStyle w:val="TabelleText"/>
              <w:spacing w:before="240"/>
            </w:pPr>
            <w:r w:rsidRPr="00DD71DA">
              <w:t xml:space="preserve">Existieren angemessene Prozesse zur Verwaltung und Veröffentlichung von Schnittstellenänderungen sowie der </w:t>
            </w:r>
            <w:r w:rsidRPr="00DD71DA">
              <w:lastRenderedPageBreak/>
              <w:t>Kommunikation mit Drittanbietern?</w:t>
            </w:r>
          </w:p>
          <w:p w14:paraId="36DCE03C" w14:textId="77777777" w:rsidR="00CC665E" w:rsidRPr="00DD71DA" w:rsidRDefault="00CC665E" w:rsidP="00DD71DA">
            <w:pPr>
              <w:pStyle w:val="TabelleText"/>
              <w:spacing w:before="240"/>
            </w:pPr>
            <w:r w:rsidRPr="00DD71DA">
              <w:t>Ist prozessual sichergestellt, dass Änderungen an der Schnittstelle rechtzeitig (mindestens drei Monate vorher) an Drittanbieter kommuniziert werden?</w:t>
            </w:r>
          </w:p>
          <w:p w14:paraId="726E950B" w14:textId="0BECD531" w:rsidR="00CC665E" w:rsidRPr="00DD71DA" w:rsidRDefault="00CC665E" w:rsidP="00DD71DA">
            <w:pPr>
              <w:pStyle w:val="TabelleText"/>
              <w:spacing w:before="240"/>
            </w:pPr>
            <w:r w:rsidRPr="00DD71DA">
              <w:t xml:space="preserve">Ist darüber hinaus prozessual sichergestellt, dass bei erforderlichen </w:t>
            </w:r>
            <w:r w:rsidR="004E3AE6">
              <w:t>Ad-hoc</w:t>
            </w:r>
            <w:r w:rsidRPr="00DD71DA">
              <w:t>-Änderungen aufgrund von Notfallsituationen (bspw. durch Einspielung eines Hot-Fixes) diese Notfallsituationen dokumentiert werden und bei Bedarf den zuständigen Behörden zur Verfügung gestellt werden können?</w:t>
            </w:r>
          </w:p>
          <w:p w14:paraId="4143DF47" w14:textId="77777777" w:rsidR="00CC665E" w:rsidRPr="00DD71DA" w:rsidRDefault="00CC665E" w:rsidP="00DD71DA">
            <w:pPr>
              <w:pStyle w:val="TabelleText"/>
              <w:spacing w:before="240"/>
            </w:pPr>
            <w:r w:rsidRPr="00DD71DA">
              <w:t>Identifizierung vorgenommener technischer Änderungen an der Schnittstelle und Prüfung, ob diese mind. drei Monate vorher an die Drittanbieter kommuniziert worden sind.</w:t>
            </w:r>
          </w:p>
          <w:p w14:paraId="22D834A8" w14:textId="54E147A3" w:rsidR="00CC665E" w:rsidRPr="00DD71DA" w:rsidRDefault="00CC665E" w:rsidP="00DD71DA">
            <w:pPr>
              <w:pStyle w:val="TabelleText"/>
              <w:spacing w:before="240"/>
              <w:rPr>
                <w:b/>
                <w:bCs/>
              </w:rPr>
            </w:pPr>
            <w:r w:rsidRPr="00DD71DA">
              <w:t xml:space="preserve">Identifizierung von ggf. aufgetretenen Notfallsituationen und </w:t>
            </w:r>
            <w:r w:rsidRPr="00DD71DA">
              <w:lastRenderedPageBreak/>
              <w:t>Prüfung der hierzu erstellten Dokumentation.</w:t>
            </w:r>
          </w:p>
        </w:tc>
        <w:tc>
          <w:tcPr>
            <w:tcW w:w="983" w:type="pct"/>
            <w:tcBorders>
              <w:top w:val="single" w:sz="2" w:space="0" w:color="272727"/>
              <w:left w:val="single" w:sz="48" w:space="0" w:color="FFFFFF" w:themeColor="background1"/>
              <w:bottom w:val="single" w:sz="2" w:space="0" w:color="272727"/>
              <w:right w:val="nil"/>
            </w:tcBorders>
          </w:tcPr>
          <w:p w14:paraId="5B68E626" w14:textId="77777777" w:rsidR="00CC665E" w:rsidRPr="00DD71DA" w:rsidRDefault="00CC665E" w:rsidP="00DD71DA">
            <w:pPr>
              <w:pStyle w:val="TabelleText"/>
              <w:spacing w:before="240"/>
            </w:pPr>
          </w:p>
        </w:tc>
      </w:tr>
      <w:tr w:rsidR="005D70ED" w:rsidRPr="00201374" w14:paraId="2FFB0652"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2C920FAF" w14:textId="23A0E510" w:rsidR="00CC665E" w:rsidRPr="00DD71DA" w:rsidRDefault="00DD71DA" w:rsidP="00DD71DA">
            <w:pPr>
              <w:pStyle w:val="TabelleText"/>
              <w:spacing w:before="240"/>
              <w:rPr>
                <w:b/>
                <w:bCs/>
              </w:rPr>
            </w:pPr>
            <w:r w:rsidRPr="00DD71DA">
              <w:rPr>
                <w:b/>
                <w:bCs/>
              </w:rPr>
              <w:lastRenderedPageBreak/>
              <w:t>(5)</w:t>
            </w:r>
          </w:p>
        </w:tc>
        <w:tc>
          <w:tcPr>
            <w:tcW w:w="1530" w:type="pct"/>
            <w:tcBorders>
              <w:top w:val="single" w:sz="2" w:space="0" w:color="272727"/>
              <w:left w:val="nil"/>
              <w:bottom w:val="single" w:sz="2" w:space="0" w:color="272727"/>
              <w:right w:val="single" w:sz="48" w:space="0" w:color="FFFFFF" w:themeColor="background1"/>
            </w:tcBorders>
          </w:tcPr>
          <w:p w14:paraId="1C608BDE" w14:textId="61862682" w:rsidR="00CC665E" w:rsidRPr="00DD71DA" w:rsidRDefault="00CC665E" w:rsidP="00DD71DA">
            <w:pPr>
              <w:pStyle w:val="TabelleText"/>
              <w:spacing w:before="240"/>
            </w:pPr>
            <w:r w:rsidRPr="00DD71DA">
              <w:t xml:space="preserve">Die kontoführenden Zahlungsdienstleister stellen eine Testumgebung, einschließlich Unterstützung, für den Verbindungsaufbau und für Funktionstests zur Verfügung, damit die zugelassenen Zahlungsauslösedienstleister, Zahlungsdienstleister, die kartengebundene Zahlungsinstrumente ausstellen, Kontoinformationsdienstleister oder Zahlungsdienstleister, die eine entsprechende Zulassung beantragt haben, ihre Software und ihre Anwendungen testen können, die sie verwenden, um Benutzern einen Zahlungsdienst anzubieten. Diese Testumgebung sollte spätestens sechs Monate vor dem in Art. 38 Abs. 2 genannten Geltungsbeginn oder vor dem anvisierten Termin der Markteinführung der Zugangsschnittstelle zur Verfügung gestellt werden, wenn die Einführung nach dem in Art. 38 Abs. 2 angegebenen Datum erfolgt. </w:t>
            </w:r>
          </w:p>
          <w:p w14:paraId="47A6DE4B" w14:textId="405BABD1" w:rsidR="00CC665E" w:rsidRPr="00DD71DA" w:rsidRDefault="00CC665E" w:rsidP="00DD71DA">
            <w:pPr>
              <w:pStyle w:val="TabelleText"/>
              <w:spacing w:before="240"/>
              <w:rPr>
                <w:b/>
                <w:bCs/>
              </w:rPr>
            </w:pPr>
            <w:r w:rsidRPr="00DD71DA">
              <w:t xml:space="preserve">Jedoch dürfen über die Testumgebung keine sensiblen Informationen ausgetauscht werden. </w:t>
            </w:r>
          </w:p>
        </w:tc>
        <w:tc>
          <w:tcPr>
            <w:tcW w:w="1360" w:type="pct"/>
            <w:tcBorders>
              <w:top w:val="single" w:sz="2" w:space="0" w:color="272727"/>
              <w:left w:val="nil"/>
              <w:bottom w:val="single" w:sz="2" w:space="0" w:color="272727"/>
              <w:right w:val="single" w:sz="48" w:space="0" w:color="FFFFFF" w:themeColor="background1"/>
            </w:tcBorders>
          </w:tcPr>
          <w:p w14:paraId="67AAB4B1" w14:textId="7C172F2B" w:rsidR="00CC665E" w:rsidRPr="00DD71DA" w:rsidRDefault="00CC665E" w:rsidP="00DD71DA">
            <w:pPr>
              <w:pStyle w:val="TabelleText"/>
              <w:spacing w:before="240"/>
              <w:rPr>
                <w:b/>
                <w:bCs/>
              </w:rPr>
            </w:pPr>
            <w:r w:rsidRPr="00DD71DA">
              <w:t>Anforderung an die Bereitstellung einer Testumgebung.</w:t>
            </w:r>
          </w:p>
        </w:tc>
        <w:tc>
          <w:tcPr>
            <w:tcW w:w="1013" w:type="pct"/>
            <w:tcBorders>
              <w:top w:val="single" w:sz="2" w:space="0" w:color="272727"/>
              <w:left w:val="single" w:sz="48" w:space="0" w:color="FFFFFF" w:themeColor="background1"/>
              <w:bottom w:val="single" w:sz="2" w:space="0" w:color="272727"/>
              <w:right w:val="nil"/>
            </w:tcBorders>
          </w:tcPr>
          <w:p w14:paraId="7122E1CF" w14:textId="77777777" w:rsidR="00CC665E" w:rsidRPr="00DD71DA" w:rsidRDefault="00CC665E" w:rsidP="00DD71DA">
            <w:pPr>
              <w:pStyle w:val="TabelleText"/>
              <w:spacing w:before="240"/>
            </w:pPr>
            <w:r w:rsidRPr="00DD71DA">
              <w:t>Wird eine Testumgebung für die Durchführung von Funktionstests für Drittanbieter bereitgestellt und ist sichergestellt, dass dort keine sensiblen Daten verwendet werden?</w:t>
            </w:r>
          </w:p>
          <w:p w14:paraId="1AE2D527" w14:textId="767759D0" w:rsidR="00CC665E" w:rsidRPr="00DD71DA" w:rsidRDefault="00CC665E" w:rsidP="00DD71DA">
            <w:pPr>
              <w:pStyle w:val="TabelleText"/>
              <w:spacing w:before="240"/>
              <w:rPr>
                <w:b/>
                <w:bCs/>
              </w:rPr>
            </w:pPr>
            <w:r w:rsidRPr="00DD71DA">
              <w:t xml:space="preserve">Ziehung einer Stichprobe von Testdaten, und Prüfung, dass diese lediglich synthetisch sind und keine Produktivdaten verwendet werden. </w:t>
            </w:r>
          </w:p>
        </w:tc>
        <w:tc>
          <w:tcPr>
            <w:tcW w:w="983" w:type="pct"/>
            <w:tcBorders>
              <w:top w:val="single" w:sz="2" w:space="0" w:color="272727"/>
              <w:left w:val="single" w:sz="48" w:space="0" w:color="FFFFFF" w:themeColor="background1"/>
              <w:bottom w:val="single" w:sz="2" w:space="0" w:color="272727"/>
              <w:right w:val="nil"/>
            </w:tcBorders>
          </w:tcPr>
          <w:p w14:paraId="0B17ED66" w14:textId="77777777" w:rsidR="00CC665E" w:rsidRPr="00DD71DA" w:rsidRDefault="00CC665E" w:rsidP="00DD71DA">
            <w:pPr>
              <w:pStyle w:val="TabelleText"/>
              <w:spacing w:before="240"/>
            </w:pPr>
          </w:p>
        </w:tc>
      </w:tr>
      <w:tr w:rsidR="005D70ED" w:rsidRPr="00201374" w14:paraId="789A475A"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4583347D" w14:textId="7815CD3A" w:rsidR="00CC665E" w:rsidRPr="00DD71DA" w:rsidRDefault="00DD71DA" w:rsidP="00DD71DA">
            <w:pPr>
              <w:pStyle w:val="TabelleText"/>
              <w:spacing w:before="240"/>
              <w:rPr>
                <w:b/>
                <w:bCs/>
              </w:rPr>
            </w:pPr>
            <w:r w:rsidRPr="00DD71DA">
              <w:rPr>
                <w:b/>
                <w:bCs/>
              </w:rPr>
              <w:t>(6)</w:t>
            </w:r>
          </w:p>
        </w:tc>
        <w:tc>
          <w:tcPr>
            <w:tcW w:w="1530" w:type="pct"/>
            <w:tcBorders>
              <w:top w:val="single" w:sz="2" w:space="0" w:color="272727"/>
              <w:left w:val="nil"/>
              <w:bottom w:val="single" w:sz="2" w:space="0" w:color="272727"/>
              <w:right w:val="single" w:sz="48" w:space="0" w:color="FFFFFF" w:themeColor="background1"/>
            </w:tcBorders>
          </w:tcPr>
          <w:p w14:paraId="6DF7B5E7" w14:textId="5406BFD6" w:rsidR="00CC665E" w:rsidRPr="00DD71DA" w:rsidRDefault="00CC665E" w:rsidP="00DD71DA">
            <w:pPr>
              <w:pStyle w:val="TabelleText"/>
              <w:spacing w:before="240"/>
              <w:rPr>
                <w:b/>
                <w:bCs/>
              </w:rPr>
            </w:pPr>
            <w:r w:rsidRPr="00DD71DA">
              <w:t xml:space="preserve">Die zuständigen Behörden stellen sicher, dass die kontoführenden Zahlungsdienstleister den in den vorliegenden Standards verankerten Verpflichtungen in Bezug auf für die von ihnen eingerichtete(n) Schnittstelle(n) jederzeit nachkommen. Falls ein kontoführender Zahlungsdienstleister die </w:t>
            </w:r>
            <w:r w:rsidRPr="00DD71DA">
              <w:lastRenderedPageBreak/>
              <w:t>Anforderungen an Schnittstellen gemäß den vorliegenden Standards nicht erfüllt, stellen die zuständigen Behörden sicher, dass die Erbringung von Zahlungsauslösediensten und Kontoinformationsdiensten nicht verhindert oder unterbrochen wird, soweit die betreffenden Anbieter solcher Dienste die in Art. 33 Abs. 5 festgelegten Bedingungen erfüllen.</w:t>
            </w:r>
          </w:p>
        </w:tc>
        <w:tc>
          <w:tcPr>
            <w:tcW w:w="1360" w:type="pct"/>
            <w:tcBorders>
              <w:top w:val="single" w:sz="2" w:space="0" w:color="272727"/>
              <w:left w:val="nil"/>
              <w:bottom w:val="single" w:sz="2" w:space="0" w:color="272727"/>
              <w:right w:val="single" w:sz="48" w:space="0" w:color="FFFFFF" w:themeColor="background1"/>
            </w:tcBorders>
          </w:tcPr>
          <w:p w14:paraId="3DFEDE5C" w14:textId="77777777" w:rsidR="00CC665E" w:rsidRPr="00DD71DA" w:rsidRDefault="00CC665E" w:rsidP="00DD71DA">
            <w:pPr>
              <w:pStyle w:val="TabelleText"/>
              <w:spacing w:before="240"/>
            </w:pPr>
            <w:r w:rsidRPr="00DD71DA">
              <w:lastRenderedPageBreak/>
              <w:t>Anforderung an die behördliche Sicherstellung der Schnittstellenkonformität und Dienstkontinuität.</w:t>
            </w:r>
          </w:p>
          <w:p w14:paraId="530A432C" w14:textId="77777777" w:rsidR="00CC665E" w:rsidRPr="00DD71DA" w:rsidRDefault="00CC665E" w:rsidP="00DD71DA">
            <w:pPr>
              <w:pStyle w:val="TabelleText"/>
              <w:spacing w:before="240"/>
              <w:rPr>
                <w:b/>
                <w:bCs/>
              </w:rPr>
            </w:pPr>
          </w:p>
        </w:tc>
        <w:tc>
          <w:tcPr>
            <w:tcW w:w="1013" w:type="pct"/>
            <w:tcBorders>
              <w:top w:val="single" w:sz="2" w:space="0" w:color="272727"/>
              <w:left w:val="single" w:sz="48" w:space="0" w:color="FFFFFF" w:themeColor="background1"/>
              <w:bottom w:val="single" w:sz="2" w:space="0" w:color="272727"/>
              <w:right w:val="nil"/>
            </w:tcBorders>
          </w:tcPr>
          <w:p w14:paraId="61825ACD" w14:textId="77777777" w:rsidR="00CC665E" w:rsidRPr="00DD71DA" w:rsidRDefault="00CC665E" w:rsidP="00DD71DA">
            <w:pPr>
              <w:pStyle w:val="TabelleText"/>
              <w:spacing w:before="240"/>
            </w:pPr>
            <w:r w:rsidRPr="00DD71DA">
              <w:t>Existieren externe Informationen von Aufsichtsbehörden zu der vom Kreditinstitut bereitgestellten Schnittstelle?</w:t>
            </w:r>
          </w:p>
          <w:p w14:paraId="6831CB61" w14:textId="77777777" w:rsidR="00CC665E" w:rsidRPr="00DD71DA" w:rsidRDefault="00CC665E" w:rsidP="00DD71DA">
            <w:pPr>
              <w:pStyle w:val="TabelleText"/>
              <w:spacing w:before="240"/>
            </w:pPr>
            <w:r w:rsidRPr="00DD71DA">
              <w:lastRenderedPageBreak/>
              <w:t>Ist der Zugang zur Schnittstelle diskriminierungsfrei ausgestaltet und steht jedem TPP zur Verfügung?</w:t>
            </w:r>
          </w:p>
          <w:p w14:paraId="4BBFCA52" w14:textId="117D27F3" w:rsidR="00CC665E" w:rsidRPr="00DD71DA" w:rsidRDefault="00CC665E" w:rsidP="00DD71DA">
            <w:pPr>
              <w:pStyle w:val="TabelleText"/>
              <w:spacing w:before="240"/>
              <w:rPr>
                <w:b/>
                <w:bCs/>
              </w:rPr>
            </w:pPr>
            <w:r w:rsidRPr="00DD71DA">
              <w:t>Stichprobenartige Prüfung, ob die Authentifizierungs- und Kommunikationsprozesse diskriminierungsfrei und entsprechend den regulatorischen Vorgaben ablaufen.</w:t>
            </w:r>
          </w:p>
        </w:tc>
        <w:tc>
          <w:tcPr>
            <w:tcW w:w="983" w:type="pct"/>
            <w:tcBorders>
              <w:top w:val="single" w:sz="2" w:space="0" w:color="272727"/>
              <w:left w:val="single" w:sz="48" w:space="0" w:color="FFFFFF" w:themeColor="background1"/>
              <w:bottom w:val="single" w:sz="2" w:space="0" w:color="272727"/>
              <w:right w:val="nil"/>
            </w:tcBorders>
          </w:tcPr>
          <w:p w14:paraId="17C195BE" w14:textId="77777777" w:rsidR="00CC665E" w:rsidRPr="00DD71DA" w:rsidRDefault="00CC665E" w:rsidP="00DD71DA">
            <w:pPr>
              <w:pStyle w:val="TabelleText"/>
              <w:spacing w:before="240"/>
            </w:pPr>
          </w:p>
        </w:tc>
      </w:tr>
      <w:tr w:rsidR="00DD71DA" w:rsidRPr="00201374" w14:paraId="0C544BA8" w14:textId="77777777" w:rsidTr="00DD71DA">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40E0D4E6" w14:textId="558170B5" w:rsidR="00DD71DA" w:rsidRPr="00DD71DA" w:rsidRDefault="00DD71DA" w:rsidP="00254198">
            <w:pPr>
              <w:pStyle w:val="TabelleText"/>
            </w:pPr>
            <w:r w:rsidRPr="00DD71DA">
              <w:rPr>
                <w:b/>
                <w:bCs/>
              </w:rPr>
              <w:t>Artikel 31 – Zugangsschnittstellenoptionen</w:t>
            </w:r>
          </w:p>
        </w:tc>
      </w:tr>
      <w:tr w:rsidR="005D70ED" w:rsidRPr="00201374" w14:paraId="5545AF00"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2032E2BD" w14:textId="53BAA2BC" w:rsidR="00CC665E" w:rsidRPr="00DD71DA" w:rsidRDefault="00DD71DA" w:rsidP="00DD71DA">
            <w:pPr>
              <w:pStyle w:val="TabelleText"/>
              <w:spacing w:before="240"/>
              <w:rPr>
                <w:b/>
                <w:bCs/>
              </w:rPr>
            </w:pPr>
            <w:r w:rsidRPr="00DD71DA">
              <w:rPr>
                <w:b/>
                <w:bCs/>
              </w:rPr>
              <w:t>(1)</w:t>
            </w:r>
          </w:p>
        </w:tc>
        <w:tc>
          <w:tcPr>
            <w:tcW w:w="1530" w:type="pct"/>
            <w:tcBorders>
              <w:top w:val="single" w:sz="2" w:space="0" w:color="272727"/>
              <w:left w:val="nil"/>
              <w:bottom w:val="single" w:sz="2" w:space="0" w:color="272727"/>
              <w:right w:val="single" w:sz="48" w:space="0" w:color="FFFFFF" w:themeColor="background1"/>
            </w:tcBorders>
          </w:tcPr>
          <w:p w14:paraId="21E2F56A" w14:textId="207D9364" w:rsidR="00CC665E" w:rsidRPr="00DD71DA" w:rsidRDefault="00CC665E" w:rsidP="00DD71DA">
            <w:pPr>
              <w:pStyle w:val="TabelleText"/>
              <w:spacing w:before="240"/>
              <w:rPr>
                <w:b/>
                <w:bCs/>
              </w:rPr>
            </w:pPr>
            <w:r w:rsidRPr="00DD71DA">
              <w:t>Die kontoführenden Zahlungsdienstleister richten die in Art. 30 genannte(n) Schnittstelle(n) ein, indem sie eine dedizierte Schnittstelle bereitstellen oder den in Art. 30 Abs. 1 genannten Zahlungsdienstleistern die Nutzung der für die Authentifizierung und die Kommunikation mit den Zahlungsdienstnutzern des kontoführenden Zahlungsdienstleisters verwendeten Schnittstellen erlauben.</w:t>
            </w:r>
          </w:p>
        </w:tc>
        <w:tc>
          <w:tcPr>
            <w:tcW w:w="1360" w:type="pct"/>
            <w:tcBorders>
              <w:top w:val="single" w:sz="2" w:space="0" w:color="272727"/>
              <w:left w:val="nil"/>
              <w:bottom w:val="single" w:sz="2" w:space="0" w:color="272727"/>
              <w:right w:val="single" w:sz="48" w:space="0" w:color="FFFFFF" w:themeColor="background1"/>
            </w:tcBorders>
          </w:tcPr>
          <w:p w14:paraId="77F4503E" w14:textId="77777777" w:rsidR="00CC665E" w:rsidRPr="00DD71DA" w:rsidRDefault="00CC665E" w:rsidP="00DD71DA">
            <w:pPr>
              <w:pStyle w:val="TabelleText"/>
              <w:spacing w:before="240"/>
            </w:pPr>
            <w:r w:rsidRPr="00DD71DA">
              <w:t>Anhand der Schnittstelle (dedizierte API) wird die Grundarchitektur des PSD2</w:t>
            </w:r>
            <w:r w:rsidRPr="00DD71DA">
              <w:noBreakHyphen/>
              <w:t>Zugangsmodells festgelegt.</w:t>
            </w:r>
          </w:p>
          <w:p w14:paraId="1AEDAED0" w14:textId="72803173" w:rsidR="00CC665E" w:rsidRPr="00DD71DA" w:rsidRDefault="00CC665E" w:rsidP="00DD71DA">
            <w:pPr>
              <w:pStyle w:val="TabelleText"/>
              <w:spacing w:before="240"/>
              <w:rPr>
                <w:b/>
                <w:bCs/>
              </w:rPr>
            </w:pPr>
            <w:r w:rsidRPr="00DD71DA">
              <w:t xml:space="preserve">Die gewählte Schnittstellenoption muss alle Anforderungen aus Art. 30 erfüllen (Identifikation, sichere Kommunikation, Nutzung der bereitgestellten Authentifizierungsverfahren). </w:t>
            </w:r>
            <w:r w:rsidRPr="00DD71DA">
              <w:br/>
            </w:r>
            <w:r w:rsidRPr="00DD71DA">
              <w:br/>
            </w:r>
          </w:p>
        </w:tc>
        <w:tc>
          <w:tcPr>
            <w:tcW w:w="1013" w:type="pct"/>
            <w:tcBorders>
              <w:top w:val="single" w:sz="2" w:space="0" w:color="272727"/>
              <w:left w:val="single" w:sz="48" w:space="0" w:color="FFFFFF" w:themeColor="background1"/>
              <w:bottom w:val="single" w:sz="2" w:space="0" w:color="272727"/>
              <w:right w:val="nil"/>
            </w:tcBorders>
          </w:tcPr>
          <w:p w14:paraId="4592CBA9" w14:textId="77777777" w:rsidR="00CC665E" w:rsidRPr="00DD71DA" w:rsidRDefault="00CC665E" w:rsidP="00DD71DA">
            <w:pPr>
              <w:pStyle w:val="TabelleText"/>
              <w:spacing w:before="240"/>
            </w:pPr>
            <w:r w:rsidRPr="00DD71DA">
              <w:t>Ist die Wahl der Schnittstellenoption in Fach</w:t>
            </w:r>
            <w:r w:rsidRPr="00DD71DA">
              <w:noBreakHyphen/>
              <w:t xml:space="preserve"> oder Architekturkonzepten sauber dokumentiert? </w:t>
            </w:r>
          </w:p>
          <w:p w14:paraId="67538F76" w14:textId="77777777" w:rsidR="00CC665E" w:rsidRPr="00DD71DA" w:rsidRDefault="00CC665E" w:rsidP="00DD71DA">
            <w:pPr>
              <w:pStyle w:val="TabelleText"/>
              <w:spacing w:before="240"/>
            </w:pPr>
            <w:r w:rsidRPr="00DD71DA">
              <w:t>Gibt es Verantwortlichkeiten für API</w:t>
            </w:r>
            <w:r w:rsidRPr="00DD71DA">
              <w:noBreakHyphen/>
              <w:t>Betrieb, Monitoring, Incident</w:t>
            </w:r>
            <w:r w:rsidRPr="00DD71DA">
              <w:noBreakHyphen/>
              <w:t xml:space="preserve">Handling? </w:t>
            </w:r>
          </w:p>
          <w:p w14:paraId="0403EC04" w14:textId="77777777" w:rsidR="00CC665E" w:rsidRPr="00DD71DA" w:rsidRDefault="00CC665E" w:rsidP="00DD71DA">
            <w:pPr>
              <w:pStyle w:val="TabelleText"/>
              <w:spacing w:before="240"/>
            </w:pPr>
            <w:r w:rsidRPr="00DD71DA">
              <w:t xml:space="preserve">Technische Dokumentation vorhanden und veröffentlicht? </w:t>
            </w:r>
          </w:p>
          <w:p w14:paraId="15FF3FC7" w14:textId="02975E29" w:rsidR="00CC665E" w:rsidRPr="00DD71DA" w:rsidRDefault="00CC665E" w:rsidP="00DD71DA">
            <w:pPr>
              <w:pStyle w:val="TabelleText"/>
              <w:spacing w:before="240"/>
            </w:pPr>
            <w:r w:rsidRPr="00DD71DA">
              <w:t xml:space="preserve">Identifikation von TPPs mittels qualifizierter Zertifikate möglich? </w:t>
            </w:r>
          </w:p>
          <w:p w14:paraId="2B582A18" w14:textId="258213DF" w:rsidR="00CC665E" w:rsidRPr="00DD71DA" w:rsidRDefault="00CC665E" w:rsidP="00DD71DA">
            <w:pPr>
              <w:pStyle w:val="TabelleText"/>
              <w:spacing w:before="240"/>
              <w:rPr>
                <w:b/>
                <w:bCs/>
              </w:rPr>
            </w:pPr>
            <w:r w:rsidRPr="00DD71DA">
              <w:t xml:space="preserve">Entspricht die technische Ausgestaltung den Vorgaben zu Sicherheit &amp; Kommunikation? </w:t>
            </w:r>
          </w:p>
        </w:tc>
        <w:tc>
          <w:tcPr>
            <w:tcW w:w="983" w:type="pct"/>
            <w:tcBorders>
              <w:top w:val="single" w:sz="2" w:space="0" w:color="272727"/>
              <w:left w:val="single" w:sz="48" w:space="0" w:color="FFFFFF" w:themeColor="background1"/>
              <w:bottom w:val="single" w:sz="2" w:space="0" w:color="272727"/>
              <w:right w:val="nil"/>
            </w:tcBorders>
          </w:tcPr>
          <w:p w14:paraId="6F73A056" w14:textId="77777777" w:rsidR="00CC665E" w:rsidRPr="00DD71DA" w:rsidRDefault="00CC665E" w:rsidP="00DD71DA">
            <w:pPr>
              <w:pStyle w:val="TabelleText"/>
              <w:spacing w:before="240"/>
            </w:pPr>
            <w:r w:rsidRPr="00DD71DA">
              <w:t>Vorlage der API</w:t>
            </w:r>
            <w:r w:rsidRPr="00DD71DA">
              <w:noBreakHyphen/>
              <w:t xml:space="preserve"> bzw. Schnittstellen</w:t>
            </w:r>
            <w:r w:rsidRPr="00DD71DA">
              <w:noBreakHyphen/>
              <w:t xml:space="preserve">Spezifikation des Dienstleisters anfordern. </w:t>
            </w:r>
          </w:p>
          <w:p w14:paraId="2445901D" w14:textId="3F09A109" w:rsidR="00CC665E" w:rsidRPr="00DD71DA" w:rsidRDefault="00CC665E" w:rsidP="00DD71DA">
            <w:pPr>
              <w:pStyle w:val="TabelleText"/>
              <w:spacing w:before="240"/>
            </w:pPr>
            <w:r w:rsidRPr="00DD71DA">
              <w:t>Nachweise einholen, dass die Schnittstellenoption (dediziert oder Kundenschnittstelle) vollständig RTS</w:t>
            </w:r>
            <w:r w:rsidRPr="00DD71DA">
              <w:noBreakHyphen/>
              <w:t xml:space="preserve">konform ist. </w:t>
            </w:r>
          </w:p>
          <w:p w14:paraId="1BB67740" w14:textId="41DAEA92" w:rsidR="00CC665E" w:rsidRPr="00DD71DA" w:rsidRDefault="00CC665E" w:rsidP="00DD71DA">
            <w:pPr>
              <w:pStyle w:val="TabelleText"/>
              <w:spacing w:before="240"/>
            </w:pPr>
            <w:r w:rsidRPr="00DD71DA">
              <w:t>Prüfung, ob der Dienstleister Drittdienstleisterzugänge gemäß Art. 30 unterstützt (inkl. TPP</w:t>
            </w:r>
            <w:r w:rsidRPr="00DD71DA">
              <w:noBreakHyphen/>
              <w:t xml:space="preserve">Identifikation). </w:t>
            </w:r>
          </w:p>
          <w:p w14:paraId="7053ADF6" w14:textId="090B621C" w:rsidR="00CC665E" w:rsidRPr="00DD71DA" w:rsidRDefault="00CC665E" w:rsidP="00DD71DA">
            <w:pPr>
              <w:pStyle w:val="TabelleText"/>
              <w:spacing w:before="240"/>
            </w:pPr>
            <w:r w:rsidRPr="00DD71DA">
              <w:t>Prüfen, ob bei Auslagerung API</w:t>
            </w:r>
            <w:r w:rsidRPr="00DD71DA">
              <w:noBreakHyphen/>
              <w:t xml:space="preserve">Betrieb und Incident-Handling </w:t>
            </w:r>
            <w:r w:rsidRPr="00DD71DA">
              <w:lastRenderedPageBreak/>
              <w:t>klar geregelt sind (SLAs, Verantwortlichkeiten).</w:t>
            </w:r>
          </w:p>
        </w:tc>
      </w:tr>
      <w:tr w:rsidR="00DD71DA" w:rsidRPr="00201374" w14:paraId="01CD1A23" w14:textId="77777777" w:rsidTr="00DD71DA">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003B6638" w14:textId="5B3123E2" w:rsidR="00DD71DA" w:rsidRPr="00DD71DA" w:rsidRDefault="00DD71DA" w:rsidP="00DD71DA">
            <w:pPr>
              <w:pStyle w:val="TabelleText"/>
              <w:rPr>
                <w:rFonts w:cs="Arial"/>
                <w:b/>
                <w:bCs/>
              </w:rPr>
            </w:pPr>
            <w:r w:rsidRPr="00DD71DA">
              <w:rPr>
                <w:rFonts w:cs="Arial"/>
                <w:b/>
                <w:bCs/>
              </w:rPr>
              <w:lastRenderedPageBreak/>
              <w:t>Artikel 32 - Anforderungen an eine dedizierte Schnittstelle</w:t>
            </w:r>
          </w:p>
        </w:tc>
      </w:tr>
      <w:tr w:rsidR="005D70ED" w:rsidRPr="00201374" w14:paraId="2700A4F9"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44FEDE6C" w14:textId="45E6D316" w:rsidR="00CC665E" w:rsidRPr="00DD71DA" w:rsidRDefault="00DD71DA" w:rsidP="00DD71DA">
            <w:pPr>
              <w:pStyle w:val="TabelleText"/>
              <w:spacing w:before="240"/>
            </w:pPr>
            <w:r w:rsidRPr="00DD71DA">
              <w:t>(1)</w:t>
            </w:r>
          </w:p>
        </w:tc>
        <w:tc>
          <w:tcPr>
            <w:tcW w:w="1530" w:type="pct"/>
            <w:tcBorders>
              <w:top w:val="single" w:sz="2" w:space="0" w:color="272727"/>
              <w:left w:val="nil"/>
              <w:bottom w:val="single" w:sz="2" w:space="0" w:color="272727"/>
              <w:right w:val="single" w:sz="48" w:space="0" w:color="FFFFFF" w:themeColor="background1"/>
            </w:tcBorders>
          </w:tcPr>
          <w:p w14:paraId="10A268CA" w14:textId="1AB14909" w:rsidR="00CC665E" w:rsidRPr="00DD71DA" w:rsidRDefault="00CC665E" w:rsidP="00DD71DA">
            <w:pPr>
              <w:pStyle w:val="TabelleText"/>
              <w:spacing w:before="240"/>
              <w:rPr>
                <w:rFonts w:cs="Arial"/>
              </w:rPr>
            </w:pPr>
            <w:r w:rsidRPr="00DD71DA">
              <w:rPr>
                <w:rFonts w:cs="Arial"/>
              </w:rPr>
              <w:t xml:space="preserve">Sofern die Anforderungen der Art. 30 und 31 erfüllt sind, gewährleisten die kontoführenden Zahlungsdienstleister, die eine dedizierte Schnittstelle eingerichtet haben, dass diese Schnittstelle jederzeit denselben Grad an Verfügbarkeit und Leistung, einschließlich Unterstützung, aufweist wie die Schnittstellen, die dem Zahlungsdienstnutzer für den direkten Online-Zugriff auf sein Zahlungskonto zur Verfügung stehen. </w:t>
            </w:r>
          </w:p>
        </w:tc>
        <w:tc>
          <w:tcPr>
            <w:tcW w:w="1360" w:type="pct"/>
            <w:tcBorders>
              <w:top w:val="single" w:sz="2" w:space="0" w:color="272727"/>
              <w:left w:val="nil"/>
              <w:bottom w:val="single" w:sz="2" w:space="0" w:color="272727"/>
              <w:right w:val="single" w:sz="48" w:space="0" w:color="FFFFFF" w:themeColor="background1"/>
            </w:tcBorders>
          </w:tcPr>
          <w:p w14:paraId="1C0B4328" w14:textId="77777777" w:rsidR="00CC665E" w:rsidRPr="00DD71DA" w:rsidRDefault="00CC665E" w:rsidP="00DD71DA">
            <w:pPr>
              <w:pStyle w:val="TabelleText"/>
              <w:spacing w:before="240"/>
              <w:rPr>
                <w:rFonts w:cs="Arial"/>
              </w:rPr>
            </w:pPr>
            <w:r w:rsidRPr="00DD71DA">
              <w:rPr>
                <w:rFonts w:cs="Arial"/>
              </w:rPr>
              <w:t xml:space="preserve">Gleichwertigkeit der Schnittstelle: </w:t>
            </w:r>
          </w:p>
          <w:p w14:paraId="419AD46A" w14:textId="70D3AB4A" w:rsidR="00CC665E" w:rsidRPr="00DD71DA" w:rsidRDefault="00CC665E" w:rsidP="00DD71DA">
            <w:pPr>
              <w:pStyle w:val="TabelleText"/>
              <w:spacing w:before="240"/>
              <w:rPr>
                <w:rFonts w:cs="Arial"/>
              </w:rPr>
            </w:pPr>
            <w:r w:rsidRPr="00DD71DA">
              <w:rPr>
                <w:rFonts w:cs="Arial"/>
              </w:rPr>
              <w:t>- Die dedizierte API muss mindestens denselben Grad an Verfügbarkeit, Leistung und Unterstützung bieten wie die Kundenschnittstelle.</w:t>
            </w:r>
          </w:p>
        </w:tc>
        <w:tc>
          <w:tcPr>
            <w:tcW w:w="1013" w:type="pct"/>
            <w:tcBorders>
              <w:top w:val="single" w:sz="2" w:space="0" w:color="272727"/>
              <w:left w:val="single" w:sz="48" w:space="0" w:color="FFFFFF" w:themeColor="background1"/>
              <w:bottom w:val="single" w:sz="2" w:space="0" w:color="272727"/>
              <w:right w:val="nil"/>
            </w:tcBorders>
          </w:tcPr>
          <w:p w14:paraId="30187B4A" w14:textId="77777777" w:rsidR="00CC665E" w:rsidRPr="00DD71DA" w:rsidRDefault="00CC665E" w:rsidP="00DD71DA">
            <w:pPr>
              <w:pStyle w:val="TabelleText"/>
              <w:spacing w:before="240"/>
              <w:rPr>
                <w:rFonts w:cs="Arial"/>
              </w:rPr>
            </w:pPr>
            <w:r w:rsidRPr="00DD71DA">
              <w:rPr>
                <w:rFonts w:cs="Arial"/>
              </w:rPr>
              <w:t>Vergleich API vs. Kundenschnittstelle (Uptime, Response</w:t>
            </w:r>
            <w:r w:rsidRPr="00DD71DA">
              <w:rPr>
                <w:rFonts w:cs="Arial"/>
              </w:rPr>
              <w:noBreakHyphen/>
              <w:t xml:space="preserve">Times, Fehlerraten). </w:t>
            </w:r>
          </w:p>
          <w:p w14:paraId="6BD3C7D6" w14:textId="58BA0E01" w:rsidR="00CC665E" w:rsidRPr="00DD71DA" w:rsidRDefault="00CC665E" w:rsidP="00DD71DA">
            <w:pPr>
              <w:pStyle w:val="TabelleText"/>
              <w:spacing w:before="240"/>
              <w:rPr>
                <w:rFonts w:cs="Arial"/>
              </w:rPr>
            </w:pPr>
            <w:r w:rsidRPr="00DD71DA">
              <w:rPr>
                <w:rFonts w:cs="Arial"/>
              </w:rPr>
              <w:t>Prüfung von Monitoring</w:t>
            </w:r>
            <w:r w:rsidRPr="00DD71DA">
              <w:rPr>
                <w:rFonts w:cs="Arial"/>
              </w:rPr>
              <w:noBreakHyphen/>
              <w:t>Logs, Downtime</w:t>
            </w:r>
            <w:r w:rsidRPr="00DD71DA">
              <w:rPr>
                <w:rFonts w:cs="Arial"/>
              </w:rPr>
              <w:noBreakHyphen/>
              <w:t xml:space="preserve">Protokollen, Incident Reports. </w:t>
            </w:r>
          </w:p>
        </w:tc>
        <w:tc>
          <w:tcPr>
            <w:tcW w:w="983" w:type="pct"/>
            <w:tcBorders>
              <w:top w:val="single" w:sz="2" w:space="0" w:color="272727"/>
              <w:left w:val="single" w:sz="48" w:space="0" w:color="FFFFFF" w:themeColor="background1"/>
              <w:bottom w:val="single" w:sz="2" w:space="0" w:color="272727"/>
              <w:right w:val="nil"/>
            </w:tcBorders>
          </w:tcPr>
          <w:p w14:paraId="125FB52E" w14:textId="77777777" w:rsidR="00CC665E" w:rsidRPr="00DD71DA" w:rsidRDefault="00CC665E" w:rsidP="00DD71DA">
            <w:pPr>
              <w:pStyle w:val="TabelleText"/>
              <w:spacing w:before="240"/>
              <w:rPr>
                <w:rFonts w:cs="Arial"/>
              </w:rPr>
            </w:pPr>
            <w:r w:rsidRPr="00DD71DA">
              <w:rPr>
                <w:rFonts w:cs="Arial"/>
              </w:rPr>
              <w:t>Prüfen, ob API</w:t>
            </w:r>
            <w:r w:rsidRPr="00DD71DA">
              <w:rPr>
                <w:rFonts w:cs="Arial"/>
              </w:rPr>
              <w:noBreakHyphen/>
              <w:t xml:space="preserve">Verfügbarkeit &amp; Performance den SLAs des Auslagerungsvertrags entsprechen. </w:t>
            </w:r>
          </w:p>
          <w:p w14:paraId="7CB657AF" w14:textId="1723EFFA" w:rsidR="00CC665E" w:rsidRPr="00DD71DA" w:rsidRDefault="00CC665E" w:rsidP="00DD71DA">
            <w:pPr>
              <w:pStyle w:val="TabelleText"/>
              <w:spacing w:before="240"/>
              <w:rPr>
                <w:rFonts w:cs="Arial"/>
              </w:rPr>
            </w:pPr>
            <w:r w:rsidRPr="00DD71DA">
              <w:rPr>
                <w:rFonts w:cs="Arial"/>
              </w:rPr>
              <w:t>Nachweise über TPP</w:t>
            </w:r>
            <w:r w:rsidRPr="00DD71DA">
              <w:rPr>
                <w:rFonts w:cs="Arial"/>
              </w:rPr>
              <w:noBreakHyphen/>
              <w:t xml:space="preserve">Zugriffstests einholen. </w:t>
            </w:r>
          </w:p>
          <w:p w14:paraId="7A4EDAB1" w14:textId="74B82170" w:rsidR="00CC665E" w:rsidRPr="00DD71DA" w:rsidRDefault="00CC665E" w:rsidP="00DD71DA">
            <w:pPr>
              <w:pStyle w:val="TabelleText"/>
              <w:spacing w:before="240"/>
              <w:rPr>
                <w:rFonts w:cs="Arial"/>
              </w:rPr>
            </w:pPr>
            <w:r w:rsidRPr="00DD71DA">
              <w:rPr>
                <w:rFonts w:cs="Arial"/>
              </w:rPr>
              <w:t xml:space="preserve">Prüfen, ob der Dienstleister die quartalsweisen Statistiken gemäß RTS veröffentlicht. </w:t>
            </w:r>
          </w:p>
          <w:p w14:paraId="36A65B12" w14:textId="14D06B4E" w:rsidR="00CC665E" w:rsidRPr="00DD71DA" w:rsidRDefault="00CC665E" w:rsidP="00DD71DA">
            <w:pPr>
              <w:pStyle w:val="TabelleText"/>
              <w:spacing w:before="240"/>
              <w:rPr>
                <w:rFonts w:cs="Arial"/>
              </w:rPr>
            </w:pPr>
            <w:r w:rsidRPr="00DD71DA">
              <w:rPr>
                <w:rFonts w:cs="Arial"/>
              </w:rPr>
              <w:t>Sicherstellen, dass bei Störungen Meldepflichten nach Art. 33 eingehalten werden.</w:t>
            </w:r>
          </w:p>
        </w:tc>
      </w:tr>
      <w:tr w:rsidR="005D70ED" w:rsidRPr="00201374" w14:paraId="527D07F7"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3C337ABB" w14:textId="05C92527" w:rsidR="00CC665E" w:rsidRPr="00DD71DA" w:rsidRDefault="00DD71DA" w:rsidP="00DD71DA">
            <w:pPr>
              <w:pStyle w:val="TabelleText"/>
              <w:spacing w:before="240"/>
            </w:pPr>
            <w:r w:rsidRPr="00DD71DA">
              <w:t>(2)</w:t>
            </w:r>
          </w:p>
        </w:tc>
        <w:tc>
          <w:tcPr>
            <w:tcW w:w="1530" w:type="pct"/>
            <w:tcBorders>
              <w:top w:val="single" w:sz="2" w:space="0" w:color="272727"/>
              <w:left w:val="nil"/>
              <w:bottom w:val="single" w:sz="2" w:space="0" w:color="272727"/>
              <w:right w:val="single" w:sz="48" w:space="0" w:color="FFFFFF" w:themeColor="background1"/>
            </w:tcBorders>
          </w:tcPr>
          <w:p w14:paraId="5B167DD4" w14:textId="25135E24" w:rsidR="00CC665E" w:rsidRPr="00DD71DA" w:rsidRDefault="00CC665E" w:rsidP="00DD71DA">
            <w:pPr>
              <w:pStyle w:val="TabelleText"/>
              <w:spacing w:before="240"/>
              <w:rPr>
                <w:rFonts w:cs="Arial"/>
              </w:rPr>
            </w:pPr>
            <w:r w:rsidRPr="00DD71DA">
              <w:rPr>
                <w:rFonts w:cs="Arial"/>
              </w:rPr>
              <w:t xml:space="preserve">Kontoführende Zahlungsdienstleister, die eine dedizierte Schnittstelle eingerichtet haben, definieren transparente wesentliche Leistungsindikatoren und Service-Level-Ziele, die im Hinblick auf Verfügbarkeit und die nach Art. 36 bereitgestellten Daten mindestens so streng sind wie diejenigen, die für die von ihren Zahlungsdienstnutzern verwendete Schnittstelle gelten. Diese Schnittstellen, Indikatoren und Zielvorgaben werden von den zuständigen Behörden überwacht und Stresstests unterzogen. </w:t>
            </w:r>
          </w:p>
        </w:tc>
        <w:tc>
          <w:tcPr>
            <w:tcW w:w="1360" w:type="pct"/>
            <w:tcBorders>
              <w:top w:val="single" w:sz="2" w:space="0" w:color="272727"/>
              <w:left w:val="nil"/>
              <w:bottom w:val="single" w:sz="2" w:space="0" w:color="272727"/>
              <w:right w:val="single" w:sz="48" w:space="0" w:color="FFFFFF" w:themeColor="background1"/>
            </w:tcBorders>
          </w:tcPr>
          <w:p w14:paraId="08E6187E" w14:textId="1E4B8C81" w:rsidR="00CC665E" w:rsidRPr="00DD71DA" w:rsidRDefault="00CC665E" w:rsidP="00DD71DA">
            <w:pPr>
              <w:pStyle w:val="TabelleText"/>
              <w:spacing w:before="240"/>
              <w:rPr>
                <w:rFonts w:cs="Arial"/>
              </w:rPr>
            </w:pPr>
            <w:r w:rsidRPr="00DD71DA">
              <w:rPr>
                <w:rFonts w:cs="Arial"/>
              </w:rPr>
              <w:t>Der Zahlungsdienstleister muss transparente Leistungsindikatoren und Service</w:t>
            </w:r>
            <w:r w:rsidRPr="00DD71DA">
              <w:rPr>
                <w:rFonts w:cs="Arial"/>
              </w:rPr>
              <w:noBreakHyphen/>
              <w:t>Level</w:t>
            </w:r>
            <w:r w:rsidRPr="00DD71DA">
              <w:rPr>
                <w:rFonts w:cs="Arial"/>
              </w:rPr>
              <w:noBreakHyphen/>
              <w:t xml:space="preserve">Ziele definieren und veröffentlichen. </w:t>
            </w:r>
          </w:p>
        </w:tc>
        <w:tc>
          <w:tcPr>
            <w:tcW w:w="1013" w:type="pct"/>
            <w:tcBorders>
              <w:top w:val="single" w:sz="2" w:space="0" w:color="272727"/>
              <w:left w:val="single" w:sz="48" w:space="0" w:color="FFFFFF" w:themeColor="background1"/>
              <w:bottom w:val="single" w:sz="2" w:space="0" w:color="272727"/>
              <w:right w:val="nil"/>
            </w:tcBorders>
          </w:tcPr>
          <w:p w14:paraId="3C90229A" w14:textId="6C8E6981" w:rsidR="00CC665E" w:rsidRPr="00DD71DA" w:rsidRDefault="00CC665E" w:rsidP="00DD71DA">
            <w:pPr>
              <w:pStyle w:val="TabelleText"/>
              <w:spacing w:before="240"/>
              <w:rPr>
                <w:rFonts w:cs="Arial"/>
              </w:rPr>
            </w:pPr>
            <w:r w:rsidRPr="00DD71DA">
              <w:rPr>
                <w:rFonts w:cs="Arial"/>
              </w:rPr>
              <w:t xml:space="preserve">Prüfung der dokumentierten KPIs/SLOs (z. B. Verfügbarkeit ≥ 99,5%). </w:t>
            </w:r>
          </w:p>
          <w:p w14:paraId="008C3B93" w14:textId="5359E71C" w:rsidR="00CC665E" w:rsidRPr="00DD71DA" w:rsidRDefault="00CC665E" w:rsidP="00DD71DA">
            <w:pPr>
              <w:pStyle w:val="TabelleText"/>
              <w:spacing w:before="240"/>
              <w:rPr>
                <w:rFonts w:cs="Arial"/>
              </w:rPr>
            </w:pPr>
            <w:r w:rsidRPr="00DD71DA">
              <w:rPr>
                <w:rFonts w:cs="Arial"/>
              </w:rPr>
              <w:t>Vorliegen eines regelmäßigen API</w:t>
            </w:r>
            <w:r w:rsidRPr="00DD71DA">
              <w:rPr>
                <w:rFonts w:cs="Arial"/>
              </w:rPr>
              <w:noBreakHyphen/>
              <w:t xml:space="preserve">Monitorings und Berichten. </w:t>
            </w:r>
          </w:p>
          <w:p w14:paraId="7E465184" w14:textId="74B8A2BF" w:rsidR="00CC665E" w:rsidRPr="00DD71DA" w:rsidRDefault="00CC665E" w:rsidP="00DD71DA">
            <w:pPr>
              <w:pStyle w:val="TabelleText"/>
              <w:spacing w:before="240"/>
              <w:rPr>
                <w:rFonts w:cs="Arial"/>
              </w:rPr>
            </w:pPr>
            <w:r w:rsidRPr="00DD71DA">
              <w:rPr>
                <w:rFonts w:cs="Arial"/>
              </w:rPr>
              <w:t>Stresstest</w:t>
            </w:r>
            <w:r w:rsidRPr="00DD71DA">
              <w:rPr>
                <w:rFonts w:cs="Arial"/>
              </w:rPr>
              <w:noBreakHyphen/>
              <w:t xml:space="preserve">Protokolle einsehen. </w:t>
            </w:r>
          </w:p>
        </w:tc>
        <w:tc>
          <w:tcPr>
            <w:tcW w:w="983" w:type="pct"/>
            <w:tcBorders>
              <w:top w:val="single" w:sz="2" w:space="0" w:color="272727"/>
              <w:left w:val="single" w:sz="48" w:space="0" w:color="FFFFFF" w:themeColor="background1"/>
              <w:bottom w:val="single" w:sz="2" w:space="0" w:color="272727"/>
              <w:right w:val="nil"/>
            </w:tcBorders>
          </w:tcPr>
          <w:p w14:paraId="6AB23A8C" w14:textId="77777777" w:rsidR="00CC665E" w:rsidRPr="00DD71DA" w:rsidRDefault="00CC665E" w:rsidP="00DD71DA">
            <w:pPr>
              <w:pStyle w:val="TabelleText"/>
              <w:spacing w:before="240"/>
              <w:rPr>
                <w:rFonts w:cs="Arial"/>
              </w:rPr>
            </w:pPr>
          </w:p>
        </w:tc>
      </w:tr>
      <w:tr w:rsidR="005D70ED" w:rsidRPr="00201374" w14:paraId="1A3CE52A"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53726EE5" w14:textId="3806B566" w:rsidR="00CC665E" w:rsidRPr="00DD71DA" w:rsidRDefault="00DD71DA" w:rsidP="00DD71DA">
            <w:pPr>
              <w:pStyle w:val="TabelleText"/>
              <w:spacing w:before="240"/>
            </w:pPr>
            <w:r w:rsidRPr="00DD71DA">
              <w:lastRenderedPageBreak/>
              <w:t>(3)</w:t>
            </w:r>
          </w:p>
        </w:tc>
        <w:tc>
          <w:tcPr>
            <w:tcW w:w="1530" w:type="pct"/>
            <w:tcBorders>
              <w:top w:val="single" w:sz="2" w:space="0" w:color="272727"/>
              <w:left w:val="nil"/>
              <w:bottom w:val="single" w:sz="2" w:space="0" w:color="272727"/>
              <w:right w:val="single" w:sz="48" w:space="0" w:color="FFFFFF" w:themeColor="background1"/>
            </w:tcBorders>
          </w:tcPr>
          <w:p w14:paraId="466F072E" w14:textId="5F5808BF" w:rsidR="00CC665E" w:rsidRPr="00DD71DA" w:rsidRDefault="00CC665E" w:rsidP="00DD71DA">
            <w:pPr>
              <w:pStyle w:val="TabelleText"/>
              <w:spacing w:before="240"/>
              <w:rPr>
                <w:rFonts w:cs="Arial"/>
              </w:rPr>
            </w:pPr>
            <w:r w:rsidRPr="00DD71DA">
              <w:rPr>
                <w:rFonts w:cs="Arial"/>
              </w:rPr>
              <w:t xml:space="preserve">Kontoführende Zahlungsdienstleister, die eine dedizierte Schnittstelle eingerichtet haben, gewährleisten, dass diese Schnittstelle die Bereitstellung von Zahlungsauslöse- und Kontoinformationsdiensten nicht beeinträchtigt. Solche Beeinträchtigungen könnten unter anderem darin bestehen, dass die in Art. 30 Abs. 1 angegebenen Zahlungsdienstleister die von den kontoführenden Zahlungsdienstleistern an ihre Kunden ausgegebenen Sicherheitsmerkmale nicht verwenden können, wodurch sie auf die Authentifizierungs- und anderen Funktionen des kontoführenden Zahlungsdienstleisters zurückgreifen müssten; dadurch könnten weitere Zulassungen und Registrierungen zusätzlich zu den in den Artikeln 11, 14 und 15 der Richtlinie (EU) 2015/2366 vorgesehenen oder eine zusätzliche Prüfung der vom Zahlungsdienstnutzer den Zahlungsauslöse- und den Kontoinformationsdienstleistern erteilten Zustimmung erforderlich sein. </w:t>
            </w:r>
          </w:p>
        </w:tc>
        <w:tc>
          <w:tcPr>
            <w:tcW w:w="1360" w:type="pct"/>
            <w:tcBorders>
              <w:top w:val="single" w:sz="2" w:space="0" w:color="272727"/>
              <w:left w:val="nil"/>
              <w:bottom w:val="single" w:sz="2" w:space="0" w:color="272727"/>
              <w:right w:val="single" w:sz="48" w:space="0" w:color="FFFFFF" w:themeColor="background1"/>
            </w:tcBorders>
          </w:tcPr>
          <w:p w14:paraId="61B6F629" w14:textId="77777777" w:rsidR="00CC665E" w:rsidRPr="00DD71DA" w:rsidRDefault="00CC665E" w:rsidP="00DD71DA">
            <w:pPr>
              <w:pStyle w:val="TabelleText"/>
              <w:spacing w:before="240"/>
              <w:rPr>
                <w:rFonts w:cs="Arial"/>
              </w:rPr>
            </w:pPr>
            <w:r w:rsidRPr="00DD71DA">
              <w:rPr>
                <w:rFonts w:cs="Arial"/>
              </w:rPr>
              <w:t>Keine Behinderung von TPP</w:t>
            </w:r>
            <w:r w:rsidRPr="00DD71DA">
              <w:rPr>
                <w:rFonts w:cs="Arial"/>
              </w:rPr>
              <w:noBreakHyphen/>
              <w:t xml:space="preserve">Diensten: </w:t>
            </w:r>
          </w:p>
          <w:p w14:paraId="430E7144" w14:textId="77777777" w:rsidR="00CC665E" w:rsidRPr="00DD71DA" w:rsidRDefault="00CC665E" w:rsidP="00DD71DA">
            <w:pPr>
              <w:pStyle w:val="TabelleText"/>
              <w:spacing w:before="240"/>
              <w:rPr>
                <w:rFonts w:cs="Arial"/>
              </w:rPr>
            </w:pPr>
            <w:r w:rsidRPr="00DD71DA">
              <w:rPr>
                <w:rFonts w:cs="Arial"/>
              </w:rPr>
              <w:t>- TPP</w:t>
            </w:r>
            <w:r w:rsidRPr="00DD71DA">
              <w:rPr>
                <w:rFonts w:cs="Arial"/>
              </w:rPr>
              <w:noBreakHyphen/>
              <w:t xml:space="preserve">Zugänge dürfen nicht eingeschränkt oder behindert werden (keine „Obstacles“). </w:t>
            </w:r>
          </w:p>
          <w:p w14:paraId="2C73444E" w14:textId="4C2DE916" w:rsidR="00CC665E" w:rsidRPr="00DD71DA" w:rsidRDefault="00CC665E" w:rsidP="00DD71DA">
            <w:pPr>
              <w:pStyle w:val="TabelleText"/>
              <w:spacing w:before="240"/>
              <w:rPr>
                <w:rFonts w:cs="Arial"/>
              </w:rPr>
            </w:pPr>
            <w:r w:rsidRPr="00DD71DA">
              <w:rPr>
                <w:rFonts w:cs="Arial"/>
              </w:rPr>
              <w:t xml:space="preserve">- TPPs müssen dieselben Authentifizierungsverfahren verwenden können wie Kunden. </w:t>
            </w:r>
          </w:p>
        </w:tc>
        <w:tc>
          <w:tcPr>
            <w:tcW w:w="1013" w:type="pct"/>
            <w:tcBorders>
              <w:top w:val="single" w:sz="2" w:space="0" w:color="272727"/>
              <w:left w:val="single" w:sz="48" w:space="0" w:color="FFFFFF" w:themeColor="background1"/>
              <w:bottom w:val="single" w:sz="2" w:space="0" w:color="272727"/>
              <w:right w:val="nil"/>
            </w:tcBorders>
          </w:tcPr>
          <w:p w14:paraId="2489C2D5" w14:textId="77777777" w:rsidR="00CC665E" w:rsidRPr="00DD71DA" w:rsidRDefault="00CC665E" w:rsidP="00DD71DA">
            <w:pPr>
              <w:pStyle w:val="TabelleText"/>
              <w:spacing w:before="240"/>
              <w:rPr>
                <w:rFonts w:cs="Arial"/>
              </w:rPr>
            </w:pPr>
            <w:r w:rsidRPr="00DD71DA">
              <w:rPr>
                <w:rFonts w:cs="Arial"/>
              </w:rPr>
              <w:t>Testzugriff (TPP</w:t>
            </w:r>
            <w:r w:rsidRPr="00DD71DA">
              <w:rPr>
                <w:rFonts w:cs="Arial"/>
              </w:rPr>
              <w:noBreakHyphen/>
              <w:t xml:space="preserve">Simulation): Nutzung derselben Authentifizierung wie Kunde möglich? </w:t>
            </w:r>
          </w:p>
          <w:p w14:paraId="54042B70" w14:textId="1853CA76" w:rsidR="00CC665E" w:rsidRPr="00DD71DA" w:rsidRDefault="00CC665E" w:rsidP="00DD71DA">
            <w:pPr>
              <w:pStyle w:val="TabelleText"/>
              <w:spacing w:before="240"/>
              <w:rPr>
                <w:rFonts w:cs="Arial"/>
              </w:rPr>
            </w:pPr>
            <w:r w:rsidRPr="00DD71DA">
              <w:rPr>
                <w:rFonts w:cs="Arial"/>
              </w:rPr>
              <w:t>Keine zusätzlichen Registrierungspflichten, Medienbrüche oder erzwungene Umwege?</w:t>
            </w:r>
          </w:p>
          <w:p w14:paraId="5D1040F2" w14:textId="04A343C2" w:rsidR="00CC665E" w:rsidRPr="00DD71DA" w:rsidRDefault="00CC665E" w:rsidP="00DD71DA">
            <w:pPr>
              <w:pStyle w:val="TabelleText"/>
              <w:spacing w:before="240"/>
              <w:rPr>
                <w:rFonts w:cs="Arial"/>
              </w:rPr>
            </w:pPr>
            <w:r w:rsidRPr="00DD71DA">
              <w:rPr>
                <w:rFonts w:cs="Arial"/>
              </w:rPr>
              <w:t xml:space="preserve"> Technische Spezifikation vollständig und aktuell? </w:t>
            </w:r>
          </w:p>
        </w:tc>
        <w:tc>
          <w:tcPr>
            <w:tcW w:w="983" w:type="pct"/>
            <w:tcBorders>
              <w:top w:val="single" w:sz="2" w:space="0" w:color="272727"/>
              <w:left w:val="single" w:sz="48" w:space="0" w:color="FFFFFF" w:themeColor="background1"/>
              <w:bottom w:val="single" w:sz="2" w:space="0" w:color="272727"/>
              <w:right w:val="nil"/>
            </w:tcBorders>
          </w:tcPr>
          <w:p w14:paraId="5398713C" w14:textId="77777777" w:rsidR="00CC665E" w:rsidRPr="00DD71DA" w:rsidRDefault="00CC665E" w:rsidP="00DD71DA">
            <w:pPr>
              <w:pStyle w:val="TabelleText"/>
              <w:spacing w:before="240"/>
              <w:rPr>
                <w:rFonts w:cs="Arial"/>
              </w:rPr>
            </w:pPr>
          </w:p>
        </w:tc>
      </w:tr>
      <w:tr w:rsidR="005D70ED" w:rsidRPr="00201374" w14:paraId="7EAF9755"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0FF406D0" w14:textId="30ED4168" w:rsidR="00CC665E" w:rsidRPr="00DD71DA" w:rsidRDefault="00DD71DA" w:rsidP="00DD71DA">
            <w:pPr>
              <w:pStyle w:val="TabelleText"/>
              <w:spacing w:before="240"/>
            </w:pPr>
            <w:r w:rsidRPr="00DD71DA">
              <w:t>(4)</w:t>
            </w:r>
          </w:p>
        </w:tc>
        <w:tc>
          <w:tcPr>
            <w:tcW w:w="1530" w:type="pct"/>
            <w:tcBorders>
              <w:top w:val="single" w:sz="2" w:space="0" w:color="272727"/>
              <w:left w:val="nil"/>
              <w:bottom w:val="single" w:sz="2" w:space="0" w:color="272727"/>
              <w:right w:val="single" w:sz="48" w:space="0" w:color="FFFFFF" w:themeColor="background1"/>
            </w:tcBorders>
          </w:tcPr>
          <w:p w14:paraId="5E4C8BF0" w14:textId="431D8F64" w:rsidR="00CC665E" w:rsidRPr="00DD71DA" w:rsidRDefault="00CC665E" w:rsidP="00DD71DA">
            <w:pPr>
              <w:pStyle w:val="TabelleText"/>
              <w:spacing w:before="240"/>
              <w:rPr>
                <w:rFonts w:cs="Arial"/>
              </w:rPr>
            </w:pPr>
            <w:r w:rsidRPr="00DD71DA">
              <w:rPr>
                <w:rFonts w:cs="Arial"/>
              </w:rPr>
              <w:t>Die kontoführenden Zahlungsdienstleister überwachen die Verfügbarkeit und Leistung der dedizierten Schnittstelle für die Zwecke der Absätze 1 und 2. Die kontoführenden Zahlungsdienstleister veröffentlichen auf ihrer Website vierteljährliche Statistiken über die Verfügbarkeit und die Leistung der dedizierten Schnittstelle und der von ihren Zahlungsdienstnutzern verwendeten Schnittstelle.</w:t>
            </w:r>
          </w:p>
        </w:tc>
        <w:tc>
          <w:tcPr>
            <w:tcW w:w="1360" w:type="pct"/>
            <w:tcBorders>
              <w:top w:val="single" w:sz="2" w:space="0" w:color="272727"/>
              <w:left w:val="nil"/>
              <w:bottom w:val="single" w:sz="2" w:space="0" w:color="272727"/>
              <w:right w:val="single" w:sz="48" w:space="0" w:color="FFFFFF" w:themeColor="background1"/>
            </w:tcBorders>
          </w:tcPr>
          <w:p w14:paraId="7B1D03EE" w14:textId="77777777" w:rsidR="00CC665E" w:rsidRPr="00DD71DA" w:rsidRDefault="00CC665E" w:rsidP="00DD71DA">
            <w:pPr>
              <w:pStyle w:val="TabelleText"/>
              <w:spacing w:before="240"/>
              <w:rPr>
                <w:rFonts w:cs="Arial"/>
              </w:rPr>
            </w:pPr>
            <w:r w:rsidRPr="00DD71DA">
              <w:rPr>
                <w:rFonts w:cs="Arial"/>
              </w:rPr>
              <w:t xml:space="preserve">Der Zahlungsdienstleister muss vierteljährliche Statistiken zur Verfügbarkeit &amp; Performance der dedizierten Schnittstelle veröffentlichen. </w:t>
            </w:r>
          </w:p>
          <w:p w14:paraId="39A1514D" w14:textId="44992B43" w:rsidR="00CC665E" w:rsidRPr="00DD71DA" w:rsidRDefault="00CC665E" w:rsidP="00DD71DA">
            <w:pPr>
              <w:pStyle w:val="TabelleText"/>
              <w:spacing w:before="240"/>
              <w:rPr>
                <w:rFonts w:cs="Arial"/>
              </w:rPr>
            </w:pPr>
            <w:r w:rsidRPr="00DD71DA">
              <w:rPr>
                <w:rFonts w:cs="Arial"/>
              </w:rPr>
              <w:t>Die BaFin erwartet mindestens die letzten vier Quartale.</w:t>
            </w:r>
          </w:p>
        </w:tc>
        <w:tc>
          <w:tcPr>
            <w:tcW w:w="1013" w:type="pct"/>
            <w:tcBorders>
              <w:top w:val="single" w:sz="2" w:space="0" w:color="272727"/>
              <w:left w:val="single" w:sz="48" w:space="0" w:color="FFFFFF" w:themeColor="background1"/>
              <w:bottom w:val="single" w:sz="2" w:space="0" w:color="272727"/>
              <w:right w:val="nil"/>
            </w:tcBorders>
          </w:tcPr>
          <w:p w14:paraId="26D0A084" w14:textId="77777777" w:rsidR="00CC665E" w:rsidRPr="00DD71DA" w:rsidRDefault="00CC665E" w:rsidP="00DD71DA">
            <w:pPr>
              <w:pStyle w:val="TabelleText"/>
              <w:spacing w:before="240"/>
              <w:rPr>
                <w:rFonts w:cs="Arial"/>
              </w:rPr>
            </w:pPr>
            <w:r w:rsidRPr="00DD71DA">
              <w:rPr>
                <w:rFonts w:cs="Arial"/>
              </w:rPr>
              <w:t>Web</w:t>
            </w:r>
            <w:r w:rsidRPr="00DD71DA">
              <w:rPr>
                <w:rFonts w:cs="Arial"/>
              </w:rPr>
              <w:noBreakHyphen/>
              <w:t>Check: Sind API</w:t>
            </w:r>
            <w:r w:rsidRPr="00DD71DA">
              <w:rPr>
                <w:rFonts w:cs="Arial"/>
              </w:rPr>
              <w:noBreakHyphen/>
              <w:t xml:space="preserve">Statistiken mind. für die letzten vier Quartale öffentlich abrufbar? </w:t>
            </w:r>
          </w:p>
          <w:p w14:paraId="7CB8CC03" w14:textId="56102646" w:rsidR="00CC665E" w:rsidRPr="00DD71DA" w:rsidRDefault="00CC665E" w:rsidP="00DD71DA">
            <w:pPr>
              <w:pStyle w:val="TabelleText"/>
              <w:spacing w:before="240"/>
              <w:rPr>
                <w:rFonts w:cs="Arial"/>
              </w:rPr>
            </w:pPr>
            <w:r w:rsidRPr="00DD71DA">
              <w:rPr>
                <w:rFonts w:cs="Arial"/>
              </w:rPr>
              <w:t>Cross</w:t>
            </w:r>
            <w:r w:rsidRPr="00DD71DA">
              <w:rPr>
                <w:rFonts w:cs="Arial"/>
              </w:rPr>
              <w:noBreakHyphen/>
              <w:t>Check interne Logs vs. veröffentlichte Daten.</w:t>
            </w:r>
          </w:p>
        </w:tc>
        <w:tc>
          <w:tcPr>
            <w:tcW w:w="983" w:type="pct"/>
            <w:tcBorders>
              <w:top w:val="single" w:sz="2" w:space="0" w:color="272727"/>
              <w:left w:val="single" w:sz="48" w:space="0" w:color="FFFFFF" w:themeColor="background1"/>
              <w:bottom w:val="single" w:sz="2" w:space="0" w:color="272727"/>
              <w:right w:val="nil"/>
            </w:tcBorders>
          </w:tcPr>
          <w:p w14:paraId="58779583" w14:textId="77777777" w:rsidR="00CC665E" w:rsidRPr="00DD71DA" w:rsidRDefault="00CC665E" w:rsidP="00DD71DA">
            <w:pPr>
              <w:pStyle w:val="TabelleText"/>
              <w:spacing w:before="240"/>
              <w:rPr>
                <w:rFonts w:cs="Arial"/>
              </w:rPr>
            </w:pPr>
          </w:p>
        </w:tc>
      </w:tr>
      <w:tr w:rsidR="00DD71DA" w:rsidRPr="00201374" w14:paraId="67B626E8" w14:textId="77777777" w:rsidTr="00DD71DA">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78336BA9" w14:textId="1FB60386" w:rsidR="00DD71DA" w:rsidRPr="00DD71DA" w:rsidRDefault="00DD71DA" w:rsidP="00DD71DA">
            <w:pPr>
              <w:pStyle w:val="TabelleText"/>
              <w:rPr>
                <w:rFonts w:cs="Arial"/>
                <w:b/>
                <w:bCs/>
              </w:rPr>
            </w:pPr>
            <w:r w:rsidRPr="00DD71DA">
              <w:rPr>
                <w:rFonts w:cs="Arial"/>
                <w:b/>
                <w:bCs/>
              </w:rPr>
              <w:lastRenderedPageBreak/>
              <w:t>Artikel 33 - Notfallmaßnahmen für eine dedizierte Schnittstelle</w:t>
            </w:r>
          </w:p>
        </w:tc>
      </w:tr>
      <w:tr w:rsidR="005D70ED" w:rsidRPr="00201374" w14:paraId="6E576236"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434D830B" w14:textId="507EFCEF" w:rsidR="00CC665E" w:rsidRPr="00DD71DA" w:rsidRDefault="00DD71DA" w:rsidP="00DD71DA">
            <w:pPr>
              <w:pStyle w:val="TabelleText"/>
              <w:spacing w:before="240"/>
              <w:rPr>
                <w:b/>
                <w:bCs/>
              </w:rPr>
            </w:pPr>
            <w:r w:rsidRPr="00DD71DA">
              <w:rPr>
                <w:b/>
                <w:bCs/>
              </w:rPr>
              <w:t>(1)</w:t>
            </w:r>
          </w:p>
        </w:tc>
        <w:tc>
          <w:tcPr>
            <w:tcW w:w="1530" w:type="pct"/>
            <w:tcBorders>
              <w:top w:val="single" w:sz="2" w:space="0" w:color="272727"/>
              <w:left w:val="nil"/>
              <w:bottom w:val="single" w:sz="2" w:space="0" w:color="272727"/>
              <w:right w:val="single" w:sz="48" w:space="0" w:color="FFFFFF" w:themeColor="background1"/>
            </w:tcBorders>
          </w:tcPr>
          <w:p w14:paraId="537F3A9D" w14:textId="1F8A2892" w:rsidR="00CC665E" w:rsidRPr="00DD71DA" w:rsidRDefault="00CC665E" w:rsidP="00DD71DA">
            <w:pPr>
              <w:pStyle w:val="TabelleText"/>
              <w:spacing w:before="240"/>
              <w:rPr>
                <w:rFonts w:cs="Arial"/>
              </w:rPr>
            </w:pPr>
            <w:r w:rsidRPr="00DD71DA">
              <w:rPr>
                <w:rFonts w:cs="Arial"/>
              </w:rPr>
              <w:t xml:space="preserve">Für den Fall, dass die Schnittstelle die in Art. 32 vorgesehene Leistung nicht erbringt oder eine unvorhergesehene Nichtverfügbarkeit der Schnittstelle oder ein Systemausfall auftritt, beziehen die kontoführenden Zahlungsdienstleister in die Gestaltung der dedizierten Schnittstelle eine Notfallstrategie und Notfallpläne ein. Von einer unvorhergesehenen Nichtverfügbarkeit oder einem Systemausfall wird ausgegangen, wenn fünf aufeinanderfolgende Anfragen für den Zugang zu Informationen zur Bereitstellung von Zahlungsauslösediensten oder Kontoinformationsdiensten nicht innerhalb von 30 Sekunden beantwortet werden. </w:t>
            </w:r>
          </w:p>
        </w:tc>
        <w:tc>
          <w:tcPr>
            <w:tcW w:w="1360" w:type="pct"/>
            <w:tcBorders>
              <w:top w:val="single" w:sz="2" w:space="0" w:color="272727"/>
              <w:left w:val="nil"/>
              <w:bottom w:val="single" w:sz="2" w:space="0" w:color="272727"/>
              <w:right w:val="single" w:sz="48" w:space="0" w:color="FFFFFF" w:themeColor="background1"/>
            </w:tcBorders>
          </w:tcPr>
          <w:p w14:paraId="52F88260" w14:textId="62F89934" w:rsidR="00CC665E" w:rsidRPr="00DD71DA" w:rsidRDefault="00CC665E" w:rsidP="00DD71DA">
            <w:pPr>
              <w:pStyle w:val="TabelleText"/>
              <w:spacing w:before="240"/>
              <w:rPr>
                <w:rFonts w:cs="Arial"/>
              </w:rPr>
            </w:pPr>
            <w:r w:rsidRPr="00DD71DA">
              <w:rPr>
                <w:rFonts w:cs="Arial"/>
              </w:rPr>
              <w:t>Kontoführende Zahlungsdienstleister müssen in die dedizierte Schnittstelle eine Notfallstrategie und konkrete Notfallpläne integrieren, um Ausfälle oder Funktionsstörungen abzufangen. Eine unvorhergesehene Nichtverfügbarkeit liegt vor, wenn fünf aufeinanderfolgende Anfragen für Zugang zu Zahlungs- oder Kontoinformationen nicht innerhalb von 30 Sekunden beantwortet werden.</w:t>
            </w:r>
          </w:p>
        </w:tc>
        <w:tc>
          <w:tcPr>
            <w:tcW w:w="1013" w:type="pct"/>
            <w:tcBorders>
              <w:top w:val="single" w:sz="2" w:space="0" w:color="272727"/>
              <w:left w:val="single" w:sz="48" w:space="0" w:color="FFFFFF" w:themeColor="background1"/>
              <w:bottom w:val="single" w:sz="2" w:space="0" w:color="272727"/>
              <w:right w:val="nil"/>
            </w:tcBorders>
          </w:tcPr>
          <w:p w14:paraId="6B70470A" w14:textId="76C206F1" w:rsidR="00CC665E" w:rsidRPr="00DD71DA" w:rsidRDefault="00CC665E" w:rsidP="00DD71DA">
            <w:pPr>
              <w:pStyle w:val="TabelleText"/>
              <w:spacing w:before="240"/>
              <w:rPr>
                <w:rFonts w:cs="Arial"/>
              </w:rPr>
            </w:pPr>
            <w:r w:rsidRPr="00DD71DA">
              <w:rPr>
                <w:rFonts w:cs="Arial"/>
              </w:rPr>
              <w:t>Wurden die Vorgaben zur Definition eines Systemausfalls korrekt technisch/prozessual umgesetzt?</w:t>
            </w:r>
          </w:p>
          <w:p w14:paraId="49D31FA2" w14:textId="62DA4D40" w:rsidR="00CC665E" w:rsidRPr="00DD71DA" w:rsidRDefault="00CC665E" w:rsidP="00DD71DA">
            <w:pPr>
              <w:pStyle w:val="TabelleText"/>
              <w:spacing w:before="240"/>
              <w:rPr>
                <w:rFonts w:cs="Arial"/>
              </w:rPr>
            </w:pPr>
            <w:r w:rsidRPr="00DD71DA">
              <w:rPr>
                <w:rFonts w:cs="Arial"/>
              </w:rPr>
              <w:t>Gibt es ein automatisiertes Überwachungssystem, das Zugriffszeiten und Fehler erkennt sowie verbindliche Grenzwerte (z. B. 30 Sekunden) für die Auslösemechanismen definiert?</w:t>
            </w:r>
          </w:p>
          <w:p w14:paraId="6DA60A84" w14:textId="6BD2691D" w:rsidR="00CC665E" w:rsidRPr="00DD71DA" w:rsidRDefault="00CC665E" w:rsidP="00DD71DA">
            <w:pPr>
              <w:pStyle w:val="TabelleText"/>
              <w:spacing w:before="240"/>
              <w:rPr>
                <w:rFonts w:cs="Arial"/>
              </w:rPr>
            </w:pPr>
            <w:r w:rsidRPr="00DD71DA">
              <w:rPr>
                <w:rFonts w:cs="Arial"/>
              </w:rPr>
              <w:t>Gab es in den letzten 12 Monaten entsprechende Systemausfälle?</w:t>
            </w:r>
          </w:p>
          <w:p w14:paraId="22AE7644" w14:textId="021767B6" w:rsidR="00CC665E" w:rsidRPr="00DD71DA" w:rsidRDefault="00CC665E" w:rsidP="00DD71DA">
            <w:pPr>
              <w:pStyle w:val="TabelleText"/>
              <w:spacing w:before="240"/>
              <w:rPr>
                <w:rFonts w:cs="Arial"/>
              </w:rPr>
            </w:pPr>
            <w:r w:rsidRPr="00DD71DA">
              <w:rPr>
                <w:rFonts w:cs="Arial"/>
              </w:rPr>
              <w:t>Werden Systemfehler entsprechend protokolliert?</w:t>
            </w:r>
          </w:p>
        </w:tc>
        <w:tc>
          <w:tcPr>
            <w:tcW w:w="983" w:type="pct"/>
            <w:tcBorders>
              <w:top w:val="single" w:sz="2" w:space="0" w:color="272727"/>
              <w:left w:val="single" w:sz="48" w:space="0" w:color="FFFFFF" w:themeColor="background1"/>
              <w:bottom w:val="single" w:sz="2" w:space="0" w:color="272727"/>
              <w:right w:val="nil"/>
            </w:tcBorders>
          </w:tcPr>
          <w:p w14:paraId="08C390F3" w14:textId="56F2736D" w:rsidR="00CC665E" w:rsidRPr="00DD71DA" w:rsidRDefault="00CC665E" w:rsidP="00DD71DA">
            <w:pPr>
              <w:pStyle w:val="TabelleText"/>
              <w:spacing w:before="240"/>
              <w:rPr>
                <w:rFonts w:cs="Arial"/>
              </w:rPr>
            </w:pPr>
            <w:r w:rsidRPr="00DD71DA">
              <w:rPr>
                <w:rFonts w:cs="Arial"/>
              </w:rPr>
              <w:t>Wie gewährleistet der Dienstleister eine zuverlässige technische Überwachung der Schnittstelle, einschließlich der automatisierten Erkennung von Nichtverfügbarkeit (z. B. 5 Anfragen &lt; 30 Sekunden), und wie werden Fehler dokumentiert und kommuniziert?</w:t>
            </w:r>
          </w:p>
          <w:p w14:paraId="19FBDCEE" w14:textId="519C735F" w:rsidR="00CC665E" w:rsidRPr="00DD71DA" w:rsidRDefault="00CC665E" w:rsidP="00DD71DA">
            <w:pPr>
              <w:pStyle w:val="TabelleText"/>
              <w:spacing w:before="240"/>
              <w:rPr>
                <w:rFonts w:cs="Arial"/>
              </w:rPr>
            </w:pPr>
            <w:r w:rsidRPr="00DD71DA">
              <w:rPr>
                <w:rFonts w:cs="Arial"/>
              </w:rPr>
              <w:t>Sind die vertraglichen Vereinbarungen zwischen der Bank und dem Dienstleister so ausgestaltet, dass die gesetzlichen Anforderungen von Artikel 33 PSD2 vollständig eingehalten werden, insbesondere im Hinblick auf die Bereitstellung von Notfallmaßnahmen und die kontinuierliche Verfügbarkeit der Schnittstelle?</w:t>
            </w:r>
          </w:p>
        </w:tc>
      </w:tr>
      <w:tr w:rsidR="005D70ED" w:rsidRPr="00201374" w14:paraId="5A887CA2"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668A2E24" w14:textId="01407305" w:rsidR="00CC665E" w:rsidRPr="00C02418" w:rsidRDefault="00DD71DA" w:rsidP="00C02418">
            <w:pPr>
              <w:pStyle w:val="TabelleText"/>
              <w:spacing w:before="240"/>
              <w:rPr>
                <w:sz w:val="20"/>
                <w:szCs w:val="20"/>
              </w:rPr>
            </w:pPr>
            <w:r w:rsidRPr="00C02418">
              <w:rPr>
                <w:sz w:val="20"/>
                <w:szCs w:val="20"/>
              </w:rPr>
              <w:t>(</w:t>
            </w:r>
            <w:r w:rsidRPr="00C02418">
              <w:t>2</w:t>
            </w:r>
            <w:r w:rsidRPr="00C02418">
              <w:rPr>
                <w:sz w:val="20"/>
                <w:szCs w:val="20"/>
              </w:rPr>
              <w:t>)</w:t>
            </w:r>
          </w:p>
        </w:tc>
        <w:tc>
          <w:tcPr>
            <w:tcW w:w="1530" w:type="pct"/>
            <w:tcBorders>
              <w:top w:val="single" w:sz="2" w:space="0" w:color="272727"/>
              <w:left w:val="nil"/>
              <w:bottom w:val="single" w:sz="2" w:space="0" w:color="272727"/>
              <w:right w:val="single" w:sz="48" w:space="0" w:color="FFFFFF" w:themeColor="background1"/>
            </w:tcBorders>
          </w:tcPr>
          <w:p w14:paraId="779CF648" w14:textId="3CE10503" w:rsidR="00CC665E" w:rsidRPr="00C02418" w:rsidRDefault="00CC665E" w:rsidP="00C02418">
            <w:pPr>
              <w:pStyle w:val="TabelleText"/>
              <w:spacing w:before="240"/>
              <w:rPr>
                <w:b/>
                <w:bCs/>
              </w:rPr>
            </w:pPr>
            <w:r w:rsidRPr="00C02418">
              <w:t xml:space="preserve">Die Notfallmaßnahmen müssen Kommunikationspläne umfassen, um die die dedizierte Schnittstelle nutzenden Zahlungsdienstleister über Maßnahmen zur Wiederherstellung des Systems zu informieren; ferner müssen die Notfallmaßnahmen eine Beschreibung der sofort verfügbaren alternativen Optionen </w:t>
            </w:r>
            <w:r w:rsidRPr="00C02418">
              <w:lastRenderedPageBreak/>
              <w:t xml:space="preserve">vorsehen, die die Zahlungsdienstleister während dieser Zeit unter Umständen haben. </w:t>
            </w:r>
          </w:p>
        </w:tc>
        <w:tc>
          <w:tcPr>
            <w:tcW w:w="1360" w:type="pct"/>
            <w:tcBorders>
              <w:top w:val="single" w:sz="2" w:space="0" w:color="272727"/>
              <w:left w:val="nil"/>
              <w:bottom w:val="single" w:sz="2" w:space="0" w:color="272727"/>
              <w:right w:val="single" w:sz="48" w:space="0" w:color="FFFFFF" w:themeColor="background1"/>
            </w:tcBorders>
          </w:tcPr>
          <w:p w14:paraId="5BA12177" w14:textId="1FAF12DF" w:rsidR="00CC665E" w:rsidRPr="00C02418" w:rsidRDefault="00CC665E" w:rsidP="00C02418">
            <w:pPr>
              <w:pStyle w:val="TabelleText"/>
              <w:spacing w:before="240"/>
              <w:rPr>
                <w:b/>
                <w:bCs/>
              </w:rPr>
            </w:pPr>
            <w:r w:rsidRPr="00C02418">
              <w:lastRenderedPageBreak/>
              <w:t>Anforderung an die Ausgestaltung der Notfallmaßnahmen.</w:t>
            </w:r>
          </w:p>
        </w:tc>
        <w:tc>
          <w:tcPr>
            <w:tcW w:w="1013" w:type="pct"/>
            <w:tcBorders>
              <w:top w:val="single" w:sz="2" w:space="0" w:color="272727"/>
              <w:left w:val="single" w:sz="48" w:space="0" w:color="FFFFFF" w:themeColor="background1"/>
              <w:bottom w:val="single" w:sz="2" w:space="0" w:color="272727"/>
              <w:right w:val="nil"/>
            </w:tcBorders>
          </w:tcPr>
          <w:p w14:paraId="65DC497F" w14:textId="77777777" w:rsidR="00CC665E" w:rsidRPr="00C02418" w:rsidRDefault="00CC665E" w:rsidP="00C02418">
            <w:pPr>
              <w:pStyle w:val="TabelleText"/>
              <w:spacing w:before="240"/>
            </w:pPr>
            <w:r w:rsidRPr="00C02418">
              <w:t xml:space="preserve">Sind klare Kommunikationspläne dokumentiert, die sicherstellen, dass die dedizierte Schnittstelle nutzende Zahlungsdienstleister (z. B. Drittanbieter/TPPs) im Notfall rechtzeitig und umfassend über die aktuellen Maßnahmen sowie </w:t>
            </w:r>
            <w:r w:rsidRPr="00C02418">
              <w:lastRenderedPageBreak/>
              <w:t>den Fortschritt der Systemwiederherstellung informiert werden?</w:t>
            </w:r>
          </w:p>
          <w:p w14:paraId="488DC260" w14:textId="77777777" w:rsidR="00CC665E" w:rsidRPr="00C02418" w:rsidRDefault="00CC665E" w:rsidP="00C02418">
            <w:pPr>
              <w:pStyle w:val="TabelleText"/>
              <w:spacing w:before="240"/>
            </w:pPr>
            <w:r w:rsidRPr="00C02418">
              <w:t>Umfasst die Notfallstrategie eine detaillierte Beschreibung aller Kommunikationswege sowie alternativen Optionen, wie dies durch die PSD2-Regulierung verlangt, und wurde diese Strategie auf ihre Effektivität geprüft (z. B. durch Simulationen in Zusammenarbeit mit TPPs)?</w:t>
            </w:r>
          </w:p>
          <w:p w14:paraId="5ABED032" w14:textId="77777777" w:rsidR="00CC665E" w:rsidRPr="00C02418" w:rsidRDefault="00CC665E" w:rsidP="00C02418">
            <w:pPr>
              <w:pStyle w:val="TabelleText"/>
              <w:spacing w:before="240"/>
            </w:pPr>
            <w:r w:rsidRPr="00C02418">
              <w:t xml:space="preserve">Wie wird zu den Zahlungsdienstleistern kommuniziert? </w:t>
            </w:r>
          </w:p>
          <w:p w14:paraId="4F8DAF11" w14:textId="67B22AB6" w:rsidR="00CC665E" w:rsidRPr="00C02418" w:rsidRDefault="00CC665E" w:rsidP="00C02418">
            <w:pPr>
              <w:pStyle w:val="TabelleText"/>
              <w:spacing w:before="240"/>
            </w:pPr>
            <w:r w:rsidRPr="00C02418">
              <w:t>Welche Alternativen existieren bei Ausfall?</w:t>
            </w:r>
          </w:p>
        </w:tc>
        <w:tc>
          <w:tcPr>
            <w:tcW w:w="983" w:type="pct"/>
            <w:tcBorders>
              <w:top w:val="single" w:sz="2" w:space="0" w:color="272727"/>
              <w:left w:val="single" w:sz="48" w:space="0" w:color="FFFFFF" w:themeColor="background1"/>
              <w:bottom w:val="single" w:sz="2" w:space="0" w:color="272727"/>
              <w:right w:val="nil"/>
            </w:tcBorders>
          </w:tcPr>
          <w:p w14:paraId="512E4732" w14:textId="77777777" w:rsidR="00CC665E" w:rsidRPr="00C02418" w:rsidRDefault="00CC665E" w:rsidP="00C02418">
            <w:pPr>
              <w:pStyle w:val="TabelleText"/>
              <w:spacing w:before="240"/>
            </w:pPr>
            <w:r w:rsidRPr="00C02418">
              <w:lastRenderedPageBreak/>
              <w:t xml:space="preserve">Verfügt der Dienstleister über einen klar definierten Kommunikationsplan für den Notfall, der sicherstellt, dass die dedizierte Schnittstelle nutzende Zahlungsdienstleister (TPPs) unverzüglich und umfassend über einen Systemausfall sowie die </w:t>
            </w:r>
            <w:r w:rsidRPr="00C02418">
              <w:lastRenderedPageBreak/>
              <w:t>Wiederherstellungsmaßnahmen informiert werden?</w:t>
            </w:r>
          </w:p>
          <w:p w14:paraId="0981FB0B" w14:textId="391D876C" w:rsidR="00CC665E" w:rsidRPr="00C02418" w:rsidRDefault="00CC665E" w:rsidP="00C02418">
            <w:pPr>
              <w:pStyle w:val="TabelleText"/>
              <w:spacing w:before="240"/>
            </w:pPr>
            <w:r w:rsidRPr="00C02418">
              <w:t>Hat der Dienstleister alle sofort verfügbaren alternativen Optionen dokumentiert und getestet, und ist sichergestellt, dass diese im Ausfallfall rechtzeitig operationalisiert und für die dedizierte Schnittstelle nutzende Zahlungsdienstleister zugänglich gemacht werden können?</w:t>
            </w:r>
          </w:p>
        </w:tc>
      </w:tr>
      <w:tr w:rsidR="005D70ED" w:rsidRPr="00201374" w14:paraId="7B1B9CA4"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041E8BFF" w14:textId="4AA57775" w:rsidR="00CC665E" w:rsidRPr="00C02418" w:rsidRDefault="00C02418" w:rsidP="00C02418">
            <w:pPr>
              <w:pStyle w:val="TabelleText"/>
              <w:spacing w:before="240"/>
            </w:pPr>
            <w:r w:rsidRPr="00C02418">
              <w:lastRenderedPageBreak/>
              <w:t>(3)</w:t>
            </w:r>
          </w:p>
        </w:tc>
        <w:tc>
          <w:tcPr>
            <w:tcW w:w="1530" w:type="pct"/>
            <w:tcBorders>
              <w:top w:val="single" w:sz="2" w:space="0" w:color="272727"/>
              <w:left w:val="nil"/>
              <w:bottom w:val="single" w:sz="2" w:space="0" w:color="272727"/>
              <w:right w:val="single" w:sz="48" w:space="0" w:color="FFFFFF" w:themeColor="background1"/>
            </w:tcBorders>
          </w:tcPr>
          <w:p w14:paraId="3E1BDDCF" w14:textId="365DC705" w:rsidR="00CC665E" w:rsidRPr="00C02418" w:rsidRDefault="00CC665E" w:rsidP="00C02418">
            <w:pPr>
              <w:pStyle w:val="TabelleText"/>
              <w:spacing w:before="240"/>
            </w:pPr>
            <w:r w:rsidRPr="00C02418">
              <w:t xml:space="preserve">Der kontoführende Zahlungsdienstleister sowie die in Art. 30 Abs. 1 genannten Zahlungsdienstleister melden Probleme mit den dedizierten Schnittstellen entsprechend Abs. 1 des vorliegenden Art. ihren zuständigen nationalen Behörden unverzüglich. </w:t>
            </w:r>
          </w:p>
        </w:tc>
        <w:tc>
          <w:tcPr>
            <w:tcW w:w="1360" w:type="pct"/>
            <w:tcBorders>
              <w:top w:val="single" w:sz="2" w:space="0" w:color="272727"/>
              <w:left w:val="nil"/>
              <w:bottom w:val="single" w:sz="2" w:space="0" w:color="272727"/>
              <w:right w:val="single" w:sz="48" w:space="0" w:color="FFFFFF" w:themeColor="background1"/>
            </w:tcBorders>
          </w:tcPr>
          <w:p w14:paraId="4E1913A8" w14:textId="67BC8B11" w:rsidR="00CC665E" w:rsidRPr="00C02418" w:rsidRDefault="00CC665E" w:rsidP="00C02418">
            <w:pPr>
              <w:pStyle w:val="TabelleText"/>
              <w:spacing w:before="240"/>
            </w:pPr>
            <w:r w:rsidRPr="00C02418">
              <w:t>Anforderung an die Meldepflicht bei Schnittstellenproblemen.</w:t>
            </w:r>
          </w:p>
        </w:tc>
        <w:tc>
          <w:tcPr>
            <w:tcW w:w="1013" w:type="pct"/>
            <w:tcBorders>
              <w:top w:val="single" w:sz="2" w:space="0" w:color="272727"/>
              <w:left w:val="single" w:sz="48" w:space="0" w:color="FFFFFF" w:themeColor="background1"/>
              <w:bottom w:val="single" w:sz="2" w:space="0" w:color="272727"/>
              <w:right w:val="nil"/>
            </w:tcBorders>
          </w:tcPr>
          <w:p w14:paraId="18512400" w14:textId="77777777" w:rsidR="00CC665E" w:rsidRPr="00C02418" w:rsidRDefault="00CC665E" w:rsidP="00C02418">
            <w:pPr>
              <w:pStyle w:val="TabelleText"/>
              <w:spacing w:before="240"/>
            </w:pPr>
            <w:r w:rsidRPr="00C02418">
              <w:t>Hat der Zahlungsdienstleister klare Prozesse und Verantwortlichkeiten dokumentiert, um Probleme mit dedizierten Schnittstellen unverzüglich den zuständigen nationalen Behörden zu melden?</w:t>
            </w:r>
          </w:p>
          <w:p w14:paraId="2EB3CCAE" w14:textId="77777777" w:rsidR="00CC665E" w:rsidRPr="00C02418" w:rsidRDefault="00CC665E" w:rsidP="00C02418">
            <w:pPr>
              <w:pStyle w:val="TabelleText"/>
              <w:spacing w:before="240"/>
            </w:pPr>
            <w:r w:rsidRPr="00C02418">
              <w:t xml:space="preserve">Sind die notwendigen Kommunikationsmaßnahmen und die Meldewege so gestaltet, dass Probleme mit den Schnittstellen </w:t>
            </w:r>
            <w:r w:rsidRPr="00C02418">
              <w:lastRenderedPageBreak/>
              <w:t>unverzüglich erkannt, dokumentiert und zeitnah an die zuständigen Behörden weitergeleitet werden?</w:t>
            </w:r>
          </w:p>
          <w:p w14:paraId="3313FC7B" w14:textId="34182B7F" w:rsidR="00CC665E" w:rsidRPr="00C02418" w:rsidRDefault="00CC665E" w:rsidP="00C02418">
            <w:pPr>
              <w:pStyle w:val="TabelleText"/>
              <w:spacing w:before="240"/>
            </w:pPr>
            <w:r w:rsidRPr="00C02418">
              <w:t>Werden alle Meldungen einschließlich der dokumentierten Probleme, ihrer Ursachen, der erfolgten Kommunikation und der ergriffenen Maßnahmen systematisch aufgezeichnet, und sind diese Berichte auch für nachträgliche Prüfungen verfügbar?</w:t>
            </w:r>
          </w:p>
        </w:tc>
        <w:tc>
          <w:tcPr>
            <w:tcW w:w="983" w:type="pct"/>
            <w:tcBorders>
              <w:top w:val="single" w:sz="2" w:space="0" w:color="272727"/>
              <w:left w:val="single" w:sz="48" w:space="0" w:color="FFFFFF" w:themeColor="background1"/>
              <w:bottom w:val="single" w:sz="2" w:space="0" w:color="272727"/>
              <w:right w:val="nil"/>
            </w:tcBorders>
          </w:tcPr>
          <w:p w14:paraId="65B5FBC4" w14:textId="77777777" w:rsidR="00CC665E" w:rsidRPr="00C02418" w:rsidRDefault="00CC665E" w:rsidP="00C02418">
            <w:pPr>
              <w:pStyle w:val="TabelleText"/>
              <w:spacing w:before="240"/>
            </w:pPr>
            <w:r w:rsidRPr="00C02418">
              <w:lastRenderedPageBreak/>
              <w:t>Verfügt der Dienstleister über klar dokumentierte Prozesse, Verantwortlichkeiten und Kommunikationswege, um Probleme mit dedizierten Schnittstellen unverzüglich den zuständigen nationalen Behörden zu melden?</w:t>
            </w:r>
          </w:p>
          <w:p w14:paraId="3A14B3C5" w14:textId="77777777" w:rsidR="00CC665E" w:rsidRPr="00C02418" w:rsidRDefault="00CC665E" w:rsidP="00C02418">
            <w:pPr>
              <w:pStyle w:val="TabelleText"/>
              <w:spacing w:before="240"/>
            </w:pPr>
            <w:r w:rsidRPr="00C02418">
              <w:t xml:space="preserve">Stellt der Dienstleister sicher, dass die auslagernde Bank bei Problemen mit dedizierten </w:t>
            </w:r>
            <w:r w:rsidRPr="00C02418">
              <w:lastRenderedPageBreak/>
              <w:t>Schnittstellen rechtzeitig informiert wird und in die behördliche Meldung eingebunden wird, damit die Bank ihrer Überwachungspflicht nachkommen kann?</w:t>
            </w:r>
          </w:p>
          <w:p w14:paraId="20C9DC78" w14:textId="1E496B8C" w:rsidR="00CC665E" w:rsidRPr="00C02418" w:rsidRDefault="00CC665E" w:rsidP="00C02418">
            <w:pPr>
              <w:pStyle w:val="TabelleText"/>
              <w:spacing w:before="240"/>
            </w:pPr>
            <w:r w:rsidRPr="00C02418">
              <w:t>Hat der Dienstleister Verfahren implementiert, um alle behördlichen Meldungen sowie die zugrunde liegenden Probleme systematisch zu dokumentieren, und stehen diese Aufzeichnungen der auslagernden Bank für Prüfzwecke zur Verfügung?</w:t>
            </w:r>
          </w:p>
        </w:tc>
      </w:tr>
      <w:tr w:rsidR="005D70ED" w:rsidRPr="00201374" w14:paraId="15CA9C53"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08A4322F" w14:textId="312C767F" w:rsidR="00CC665E" w:rsidRPr="00C02418" w:rsidRDefault="00C02418" w:rsidP="00C02418">
            <w:pPr>
              <w:pStyle w:val="TabelleText"/>
              <w:spacing w:before="240"/>
              <w:rPr>
                <w:b/>
                <w:bCs/>
              </w:rPr>
            </w:pPr>
            <w:r w:rsidRPr="00C02418">
              <w:rPr>
                <w:b/>
                <w:bCs/>
              </w:rPr>
              <w:lastRenderedPageBreak/>
              <w:t>(4)</w:t>
            </w:r>
          </w:p>
        </w:tc>
        <w:tc>
          <w:tcPr>
            <w:tcW w:w="1530" w:type="pct"/>
            <w:tcBorders>
              <w:top w:val="single" w:sz="2" w:space="0" w:color="272727"/>
              <w:left w:val="nil"/>
              <w:bottom w:val="single" w:sz="2" w:space="0" w:color="272727"/>
              <w:right w:val="single" w:sz="48" w:space="0" w:color="FFFFFF" w:themeColor="background1"/>
            </w:tcBorders>
          </w:tcPr>
          <w:p w14:paraId="7600D3AA" w14:textId="74B13E02" w:rsidR="00CC665E" w:rsidRPr="00C02418" w:rsidRDefault="00CC665E" w:rsidP="00C02418">
            <w:pPr>
              <w:pStyle w:val="TabelleText"/>
              <w:spacing w:before="240"/>
              <w:rPr>
                <w:b/>
                <w:bCs/>
              </w:rPr>
            </w:pPr>
            <w:r w:rsidRPr="00C02418">
              <w:t xml:space="preserve">Im Rahmen eines Notfallmechanismus ist den in Art. 30 Abs. 1 genannten Zahlungsdienstleistern die Nutzung der Schnittstellen, die der kontoführende Zahlungsdienstleister seinen Zahlungsdienstnutzern für die Authentifizierung und Kommunikation bereitstellt, so lange gestattet, bis für die dedizierte Schnittstelle das in Art. 32 vorgesehene Verfügbarkeits- und Leistungsniveau wiederhergestellt ist. </w:t>
            </w:r>
          </w:p>
        </w:tc>
        <w:tc>
          <w:tcPr>
            <w:tcW w:w="1360" w:type="pct"/>
            <w:tcBorders>
              <w:top w:val="single" w:sz="2" w:space="0" w:color="272727"/>
              <w:left w:val="nil"/>
              <w:bottom w:val="single" w:sz="2" w:space="0" w:color="272727"/>
              <w:right w:val="single" w:sz="48" w:space="0" w:color="FFFFFF" w:themeColor="background1"/>
            </w:tcBorders>
          </w:tcPr>
          <w:p w14:paraId="18C521B6" w14:textId="70769787" w:rsidR="00CC665E" w:rsidRPr="00C02418" w:rsidRDefault="00CC665E" w:rsidP="00C02418">
            <w:pPr>
              <w:pStyle w:val="TabelleText"/>
              <w:spacing w:before="240"/>
              <w:rPr>
                <w:b/>
                <w:bCs/>
              </w:rPr>
            </w:pPr>
            <w:r w:rsidRPr="00C02418">
              <w:t>Anforderung an die Bereitstellung einer Notfallschnittstelle bei Ausfall einer dedizierten Schnittstelle.</w:t>
            </w:r>
          </w:p>
        </w:tc>
        <w:tc>
          <w:tcPr>
            <w:tcW w:w="1013" w:type="pct"/>
            <w:tcBorders>
              <w:top w:val="single" w:sz="2" w:space="0" w:color="272727"/>
              <w:left w:val="single" w:sz="48" w:space="0" w:color="FFFFFF" w:themeColor="background1"/>
              <w:bottom w:val="single" w:sz="2" w:space="0" w:color="272727"/>
              <w:right w:val="nil"/>
            </w:tcBorders>
          </w:tcPr>
          <w:p w14:paraId="65F2DE1E" w14:textId="77777777" w:rsidR="00CC665E" w:rsidRPr="00C02418" w:rsidRDefault="00CC665E" w:rsidP="00C02418">
            <w:pPr>
              <w:pStyle w:val="TabelleText"/>
              <w:spacing w:before="240"/>
            </w:pPr>
            <w:r w:rsidRPr="00C02418">
              <w:t xml:space="preserve">Wie wird der Notfallmechanismus gestartet? </w:t>
            </w:r>
          </w:p>
          <w:p w14:paraId="02EADE7F" w14:textId="77777777" w:rsidR="00CC665E" w:rsidRPr="00C02418" w:rsidRDefault="00CC665E" w:rsidP="00C02418">
            <w:pPr>
              <w:pStyle w:val="TabelleText"/>
              <w:spacing w:before="240"/>
            </w:pPr>
            <w:r w:rsidRPr="00C02418">
              <w:t>Blick auf Security: Ist der Mechanismus immer aktiv und kann zur Umgehung der Standard-API dienen?</w:t>
            </w:r>
          </w:p>
          <w:p w14:paraId="5DAB0DD2" w14:textId="7AF2136B" w:rsidR="00CC665E" w:rsidRPr="00C02418" w:rsidRDefault="00CC665E" w:rsidP="00C02418">
            <w:pPr>
              <w:pStyle w:val="TabelleText"/>
              <w:spacing w:before="240"/>
              <w:rPr>
                <w:b/>
                <w:bCs/>
              </w:rPr>
            </w:pPr>
            <w:r w:rsidRPr="00C02418">
              <w:t>Welcher Mechanismus ist der Fallback?</w:t>
            </w:r>
          </w:p>
        </w:tc>
        <w:tc>
          <w:tcPr>
            <w:tcW w:w="983" w:type="pct"/>
            <w:tcBorders>
              <w:top w:val="single" w:sz="2" w:space="0" w:color="272727"/>
              <w:left w:val="single" w:sz="48" w:space="0" w:color="FFFFFF" w:themeColor="background1"/>
              <w:bottom w:val="single" w:sz="2" w:space="0" w:color="272727"/>
              <w:right w:val="nil"/>
            </w:tcBorders>
          </w:tcPr>
          <w:p w14:paraId="79004B9E" w14:textId="77777777" w:rsidR="00CC665E" w:rsidRPr="00C02418" w:rsidRDefault="00CC665E" w:rsidP="00C02418">
            <w:pPr>
              <w:pStyle w:val="TabelleText"/>
              <w:spacing w:before="240"/>
            </w:pPr>
            <w:r w:rsidRPr="00C02418">
              <w:t>Wie wird der Notfallmechanismus beim Dienstleister gestartet?</w:t>
            </w:r>
          </w:p>
          <w:p w14:paraId="16150940" w14:textId="33DFDE64" w:rsidR="00CC665E" w:rsidRPr="00C02418" w:rsidRDefault="00CC665E" w:rsidP="00C02418">
            <w:pPr>
              <w:pStyle w:val="TabelleText"/>
              <w:spacing w:before="240"/>
            </w:pPr>
            <w:r w:rsidRPr="00C02418">
              <w:t xml:space="preserve"> Gab es hierzu entsprechende Tests? </w:t>
            </w:r>
          </w:p>
          <w:p w14:paraId="063E0ECE" w14:textId="2E63792C" w:rsidR="00CC665E" w:rsidRPr="00C02418" w:rsidRDefault="00CC665E" w:rsidP="00C02418">
            <w:pPr>
              <w:pStyle w:val="TabelleText"/>
              <w:spacing w:before="240"/>
            </w:pPr>
            <w:r w:rsidRPr="00C02418">
              <w:t>Wurde der Notfallmechanismus mit dem auslagernden Institut abgestimmt?</w:t>
            </w:r>
          </w:p>
        </w:tc>
      </w:tr>
      <w:tr w:rsidR="005D70ED" w:rsidRPr="00201374" w14:paraId="3706874F"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31FABC81" w14:textId="5EE5088E" w:rsidR="00CC665E" w:rsidRPr="00C02418" w:rsidRDefault="00C02418" w:rsidP="00CD213E">
            <w:pPr>
              <w:pStyle w:val="TabelleText"/>
              <w:spacing w:before="240"/>
            </w:pPr>
            <w:r w:rsidRPr="00C02418">
              <w:t>(5)</w:t>
            </w:r>
          </w:p>
        </w:tc>
        <w:tc>
          <w:tcPr>
            <w:tcW w:w="1530" w:type="pct"/>
            <w:tcBorders>
              <w:top w:val="single" w:sz="2" w:space="0" w:color="272727"/>
              <w:left w:val="nil"/>
              <w:bottom w:val="single" w:sz="2" w:space="0" w:color="272727"/>
              <w:right w:val="single" w:sz="48" w:space="0" w:color="FFFFFF" w:themeColor="background1"/>
            </w:tcBorders>
          </w:tcPr>
          <w:p w14:paraId="3EDBE6F2" w14:textId="77777777" w:rsidR="00CC665E" w:rsidRPr="00C02418" w:rsidRDefault="00CC665E" w:rsidP="00CD213E">
            <w:pPr>
              <w:pStyle w:val="TabelleText"/>
              <w:spacing w:before="240"/>
            </w:pPr>
            <w:r w:rsidRPr="00C02418">
              <w:t xml:space="preserve">Zu diesem Zweck gewährleisten die kontoführenden Zahlungsdienstleister, dass die in Art. 30 Abs. 1 genannten Zahlungsdienstleister identifiziert werden und sich auf die Authentifizierungsverfahren </w:t>
            </w:r>
            <w:r w:rsidRPr="00C02418">
              <w:lastRenderedPageBreak/>
              <w:t>verlassen können, die der kontoführende Zahlungsdienstleister dem Zahlungsdienstnutzer bereitstellt. Wenn die in Art. 30 Abs. 1 genannten Zahlungsdienstleister die Schnittstelle gemäß Abs. 4 nutzen,</w:t>
            </w:r>
          </w:p>
          <w:p w14:paraId="15546AD0" w14:textId="77777777" w:rsidR="00CC665E" w:rsidRPr="00C02418" w:rsidRDefault="00CC665E" w:rsidP="00CD213E">
            <w:pPr>
              <w:pStyle w:val="TabelleText"/>
              <w:spacing w:before="240"/>
            </w:pPr>
            <w:r w:rsidRPr="00C02418">
              <w:t>a) ergreifen sie die notwendigen Maßnahmen, um sicherzustellen, dass sie nur für den Zweck der Bereitstellung des vom Zahlungsdienstnutzer angeforderten Dienstes Daten abrufen, speichern oder verarbeiten;</w:t>
            </w:r>
          </w:p>
          <w:p w14:paraId="24F4EA8E" w14:textId="77777777" w:rsidR="00CC665E" w:rsidRPr="00C02418" w:rsidRDefault="00CC665E" w:rsidP="00CD213E">
            <w:pPr>
              <w:pStyle w:val="TabelleText"/>
              <w:spacing w:before="240"/>
            </w:pPr>
            <w:r w:rsidRPr="00C02418">
              <w:t>b) kommen sie weiterhin den Verpflichtungen gemäß Art. 66 Abs. 3 bzw. Art. 67 Abs. 2 der Richtlinie (EU) 2015/2366 nach;</w:t>
            </w:r>
          </w:p>
          <w:p w14:paraId="71BC06AC" w14:textId="77777777" w:rsidR="00CC665E" w:rsidRPr="00C02418" w:rsidRDefault="00CC665E" w:rsidP="00CD213E">
            <w:pPr>
              <w:pStyle w:val="TabelleText"/>
              <w:spacing w:before="240"/>
            </w:pPr>
            <w:r w:rsidRPr="00C02418">
              <w:t>c) protokollieren sie die Daten, die über die vom kontoführenden Zahlungsdienstleister für seine Zahlungsdienstnutzer betriebene Schnittstelle abgerufen werden, und stellen ihrer zuständigen nationalen Behörde auf Verlangen die Protokolldateien unverzüglich zur Verfügung;</w:t>
            </w:r>
          </w:p>
          <w:p w14:paraId="0E8266B4" w14:textId="7373BA18" w:rsidR="00CC665E" w:rsidRPr="00C02418" w:rsidRDefault="00CC665E" w:rsidP="00CD213E">
            <w:pPr>
              <w:pStyle w:val="TabelleText"/>
              <w:spacing w:before="240"/>
            </w:pPr>
            <w:r w:rsidRPr="00C02418">
              <w:t>d) legen sie gegenüber ihrer zuständigen nationalen Behörde auf Verlangen unverzüglich die Gründe für die Nutzung der Schnittstelle dar, die den Zahlungsdienstnutzern für den direkten Online-Zugriff auf ihr Zahlungskonto bereitgestellt wird;</w:t>
            </w:r>
          </w:p>
          <w:p w14:paraId="540AB609" w14:textId="39B71BC9" w:rsidR="00CC665E" w:rsidRPr="00C02418" w:rsidRDefault="00CC665E" w:rsidP="00CD213E">
            <w:pPr>
              <w:pStyle w:val="TabelleText"/>
              <w:spacing w:before="240"/>
            </w:pPr>
            <w:r w:rsidRPr="00C02418">
              <w:t>e) informieren sie den kontoführenden Zahlungsdienstleister diesbezüglich.</w:t>
            </w:r>
          </w:p>
        </w:tc>
        <w:tc>
          <w:tcPr>
            <w:tcW w:w="1360" w:type="pct"/>
            <w:tcBorders>
              <w:top w:val="single" w:sz="2" w:space="0" w:color="272727"/>
              <w:left w:val="nil"/>
              <w:bottom w:val="single" w:sz="2" w:space="0" w:color="272727"/>
              <w:right w:val="single" w:sz="48" w:space="0" w:color="FFFFFF" w:themeColor="background1"/>
            </w:tcBorders>
          </w:tcPr>
          <w:p w14:paraId="39F66AD8" w14:textId="4DA83854" w:rsidR="00CC665E" w:rsidRPr="00C02418" w:rsidRDefault="00CC665E" w:rsidP="00CD213E">
            <w:pPr>
              <w:pStyle w:val="TabelleText"/>
              <w:spacing w:before="240"/>
            </w:pPr>
            <w:r w:rsidRPr="00C02418">
              <w:lastRenderedPageBreak/>
              <w:t>Pflichten des Zahlungsdienstleisters bei Nutzung der Schnittstelle gemäß Absatz 4.</w:t>
            </w:r>
          </w:p>
        </w:tc>
        <w:tc>
          <w:tcPr>
            <w:tcW w:w="1013" w:type="pct"/>
            <w:tcBorders>
              <w:top w:val="single" w:sz="2" w:space="0" w:color="272727"/>
              <w:left w:val="single" w:sz="48" w:space="0" w:color="FFFFFF" w:themeColor="background1"/>
              <w:bottom w:val="single" w:sz="2" w:space="0" w:color="272727"/>
              <w:right w:val="nil"/>
            </w:tcBorders>
          </w:tcPr>
          <w:p w14:paraId="6FD36E25" w14:textId="77777777" w:rsidR="00CC665E" w:rsidRPr="00C02418" w:rsidRDefault="00CC665E" w:rsidP="00CD213E">
            <w:pPr>
              <w:pStyle w:val="TabelleText"/>
              <w:spacing w:before="240"/>
            </w:pPr>
            <w:r w:rsidRPr="00C02418">
              <w:t xml:space="preserve">Haben die in Artikel 30 Absatz 1 genannten Zahlungsdienstleister Maßnahmen implementiert, um sicherzustellen, dass über die </w:t>
            </w:r>
            <w:r w:rsidRPr="00C02418">
              <w:lastRenderedPageBreak/>
              <w:t>Schnittstelle nur die zur Bereitstellung der angeforderten Dienste notwendigen Daten abgerufen, gespeichert oder verarbeitet werden, und wie überwacht der kontoführende Zahlungsdienstleister dies?</w:t>
            </w:r>
          </w:p>
          <w:p w14:paraId="3D6DBD75" w14:textId="2A6FF33C" w:rsidR="00CC665E" w:rsidRPr="00C02418" w:rsidRDefault="00CC665E" w:rsidP="00CD213E">
            <w:pPr>
              <w:pStyle w:val="TabelleText"/>
              <w:spacing w:before="240"/>
            </w:pPr>
            <w:r w:rsidRPr="00C02418">
              <w:t>Werden alle Datenabrufe über die Schnittstelle vom Zahlungsdienstleister sowie von den in Artikel 30 Absatz 1 genannten Zahlungsdienstleistern ordnungsgemäß protokolliert, und können diese Protokolle sowie die Gründe für die Nutzung der Schnittstelle den zuständigen nationalen Behörden auf Verlangen unverzüglich bereitgestellt werden?</w:t>
            </w:r>
          </w:p>
        </w:tc>
        <w:tc>
          <w:tcPr>
            <w:tcW w:w="983" w:type="pct"/>
            <w:tcBorders>
              <w:top w:val="single" w:sz="2" w:space="0" w:color="272727"/>
              <w:left w:val="single" w:sz="48" w:space="0" w:color="FFFFFF" w:themeColor="background1"/>
              <w:bottom w:val="single" w:sz="2" w:space="0" w:color="272727"/>
              <w:right w:val="nil"/>
            </w:tcBorders>
          </w:tcPr>
          <w:p w14:paraId="66524E86" w14:textId="77777777" w:rsidR="00CC665E" w:rsidRPr="00C02418" w:rsidRDefault="00CC665E" w:rsidP="00CD213E">
            <w:pPr>
              <w:pStyle w:val="TabelleText"/>
              <w:spacing w:before="240"/>
            </w:pPr>
            <w:r w:rsidRPr="00C02418">
              <w:lastRenderedPageBreak/>
              <w:t xml:space="preserve">Hat der Dienstleister Prozesse und Systeme implementiert, um sicherzustellen, dass nur autorisierte Zahlungsdienstleister </w:t>
            </w:r>
            <w:r w:rsidRPr="00C02418">
              <w:lastRenderedPageBreak/>
              <w:t>(TPPs) gemäß Artikel 30 Absatz 1 identifiziert und authentifiziert werden, und decken diese Verfahren alle regulatorischen Anforderungen ab?</w:t>
            </w:r>
          </w:p>
          <w:p w14:paraId="2760DFD1" w14:textId="77777777" w:rsidR="00CC665E" w:rsidRPr="00C02418" w:rsidRDefault="00CC665E" w:rsidP="00CD213E">
            <w:pPr>
              <w:pStyle w:val="TabelleText"/>
              <w:spacing w:before="240"/>
            </w:pPr>
            <w:r w:rsidRPr="00C02418">
              <w:t>Welche Maßnahmen hat der Dienstleister umgesetzt, um sicherzustellen, dass durch die Schnittstelle nur notwendige Daten für die angeforderten Dienste abgerufen, gespeichert oder verarbeitet werden, und wie wird dies überwacht und dokumentiert?</w:t>
            </w:r>
          </w:p>
          <w:p w14:paraId="3609F4F1" w14:textId="23D3125A" w:rsidR="00CC665E" w:rsidRPr="00C02418" w:rsidRDefault="00CC665E" w:rsidP="00CD213E">
            <w:pPr>
              <w:pStyle w:val="TabelleText"/>
              <w:spacing w:before="240"/>
            </w:pPr>
            <w:r w:rsidRPr="00C02418">
              <w:t>Wie stellt der Dienstleister sicher, dass alle Datenabrufe über die Schnittstelle protokolliert werden und die Protokolldateien sowie Gründe für die Nutzung der Schnittstelle jederzeit unverzüglich auf Anfrage der zuständigen nationalen Behörden bereitgestellt werden können?</w:t>
            </w:r>
          </w:p>
        </w:tc>
      </w:tr>
      <w:tr w:rsidR="005D70ED" w:rsidRPr="00201374" w14:paraId="62A93AD2"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59DD8E01" w14:textId="54DC9324" w:rsidR="00CC665E" w:rsidRPr="00C02418" w:rsidRDefault="00C02418" w:rsidP="00CD213E">
            <w:pPr>
              <w:pStyle w:val="TabelleText"/>
              <w:spacing w:before="240"/>
            </w:pPr>
            <w:r w:rsidRPr="00C02418">
              <w:lastRenderedPageBreak/>
              <w:t>(6)</w:t>
            </w:r>
          </w:p>
        </w:tc>
        <w:tc>
          <w:tcPr>
            <w:tcW w:w="1530" w:type="pct"/>
            <w:tcBorders>
              <w:top w:val="single" w:sz="2" w:space="0" w:color="272727"/>
              <w:left w:val="nil"/>
              <w:bottom w:val="single" w:sz="2" w:space="0" w:color="272727"/>
              <w:right w:val="single" w:sz="48" w:space="0" w:color="FFFFFF" w:themeColor="background1"/>
            </w:tcBorders>
          </w:tcPr>
          <w:p w14:paraId="15A87CA9" w14:textId="77777777" w:rsidR="00CC665E" w:rsidRPr="00C02418" w:rsidRDefault="00CC665E" w:rsidP="00CD213E">
            <w:pPr>
              <w:pStyle w:val="TabelleText"/>
              <w:spacing w:before="240"/>
            </w:pPr>
            <w:r w:rsidRPr="00C02418">
              <w:t xml:space="preserve">Die zuständigen Behörden nehmen — nach Konsultation der EBA zur Gewährleistung der einheitlichen Anwendung der nachstehend genannten Bedingungen — die kontoführenden Zahlungsdienstleister, die sich für eine dedizierte Schnittstelle entschieden haben, von der Verpflichtung zur Einrichtung des Notfallmechanismus nach Abs. 4 aus, wenn die dedizierte Schnittstelle alle folgenden Bedingungen erfüllt: </w:t>
            </w:r>
          </w:p>
          <w:p w14:paraId="09721BC0" w14:textId="77777777" w:rsidR="00CC665E" w:rsidRPr="00C02418" w:rsidRDefault="00CC665E" w:rsidP="00CD213E">
            <w:pPr>
              <w:pStyle w:val="TabelleText"/>
              <w:spacing w:before="240"/>
            </w:pPr>
            <w:r w:rsidRPr="00C02418">
              <w:t xml:space="preserve">a) Sie erfüllt alle für dedizierte Schnittstellen in Art. 32 dargelegten Anforderungen. </w:t>
            </w:r>
          </w:p>
          <w:p w14:paraId="70859503" w14:textId="77777777" w:rsidR="00CC665E" w:rsidRPr="00C02418" w:rsidRDefault="00CC665E" w:rsidP="00CD213E">
            <w:pPr>
              <w:pStyle w:val="TabelleText"/>
              <w:spacing w:before="240"/>
            </w:pPr>
            <w:r w:rsidRPr="00C02418">
              <w:t xml:space="preserve">b) Sie wurde gemäß Art. 30 Abs. 5 zur Zufriedenheit der darin genannten Zahlungsdienstleister gestaltet und getestet. </w:t>
            </w:r>
          </w:p>
          <w:p w14:paraId="109F569E" w14:textId="77777777" w:rsidR="00CC665E" w:rsidRPr="00C02418" w:rsidRDefault="00CC665E" w:rsidP="00CD213E">
            <w:pPr>
              <w:pStyle w:val="TabelleText"/>
              <w:spacing w:before="240"/>
            </w:pPr>
            <w:r w:rsidRPr="00C02418">
              <w:t xml:space="preserve">c) Sie wurde mindestens drei Monate lang von Zahlungsdienstleistern in breitem Umfang für die Erbringung von Kontoinformationsdiensten, Zahlungsauslösediensten und zur Bestätigung der Verfügbarkeit eines Geldbetrags bei kartenbasierten Zahlungsvorgängen genutzt. </w:t>
            </w:r>
          </w:p>
          <w:p w14:paraId="4B839CD7" w14:textId="643BC9D0" w:rsidR="00CC665E" w:rsidRPr="00C02418" w:rsidRDefault="00CC665E" w:rsidP="00CD213E">
            <w:pPr>
              <w:pStyle w:val="TabelleText"/>
              <w:spacing w:before="240"/>
            </w:pPr>
            <w:r w:rsidRPr="00C02418">
              <w:t xml:space="preserve">d) Alle Probleme im Zusammenhang mit der dedizierten Schnittstelle wurden unverzüglich behoben. </w:t>
            </w:r>
          </w:p>
        </w:tc>
        <w:tc>
          <w:tcPr>
            <w:tcW w:w="1360" w:type="pct"/>
            <w:tcBorders>
              <w:top w:val="single" w:sz="2" w:space="0" w:color="272727"/>
              <w:left w:val="nil"/>
              <w:bottom w:val="single" w:sz="2" w:space="0" w:color="272727"/>
              <w:right w:val="single" w:sz="48" w:space="0" w:color="FFFFFF" w:themeColor="background1"/>
            </w:tcBorders>
          </w:tcPr>
          <w:p w14:paraId="1324B5A1" w14:textId="5B298E0F" w:rsidR="00CC665E" w:rsidRPr="00C02418" w:rsidRDefault="00CC665E" w:rsidP="00CD213E">
            <w:pPr>
              <w:pStyle w:val="TabelleText"/>
              <w:spacing w:before="240"/>
            </w:pPr>
            <w:r w:rsidRPr="00C02418">
              <w:t>Voraussetzung für die Befreiung zur Einrichtung des Notfallmechanismus bei gemäß Absatz 4.</w:t>
            </w:r>
          </w:p>
        </w:tc>
        <w:tc>
          <w:tcPr>
            <w:tcW w:w="1013" w:type="pct"/>
            <w:tcBorders>
              <w:top w:val="single" w:sz="2" w:space="0" w:color="272727"/>
              <w:left w:val="single" w:sz="48" w:space="0" w:color="FFFFFF" w:themeColor="background1"/>
              <w:bottom w:val="single" w:sz="2" w:space="0" w:color="272727"/>
              <w:right w:val="nil"/>
            </w:tcBorders>
          </w:tcPr>
          <w:p w14:paraId="6D3752DD" w14:textId="77777777" w:rsidR="00CC665E" w:rsidRPr="00C02418" w:rsidRDefault="00CC665E" w:rsidP="00CD213E">
            <w:pPr>
              <w:pStyle w:val="TabelleText"/>
              <w:spacing w:before="240"/>
            </w:pPr>
            <w:r w:rsidRPr="00C02418">
              <w:t xml:space="preserve">Liegt eine entsprechende Ausnahme vor? </w:t>
            </w:r>
          </w:p>
          <w:p w14:paraId="1728CDC9" w14:textId="77777777" w:rsidR="00CC665E" w:rsidRPr="00C02418" w:rsidRDefault="00CC665E" w:rsidP="00CD213E">
            <w:pPr>
              <w:pStyle w:val="TabelleText"/>
              <w:spacing w:before="240"/>
            </w:pPr>
            <w:r w:rsidRPr="00C02418">
              <w:t>Wurde die dedizierte Schnittstelle gemäß Artikel 30 Absatz 5 zufriedenstellend gestaltet und getestet, und liegen Berichte oder Nachweise über die Tests sowie Feedback der darin genannten Zahlungsdienstleister vor?</w:t>
            </w:r>
          </w:p>
          <w:p w14:paraId="0258ACF2" w14:textId="19277730" w:rsidR="00CC665E" w:rsidRPr="00C02418" w:rsidRDefault="00CC665E" w:rsidP="00CD213E">
            <w:pPr>
              <w:pStyle w:val="TabelleText"/>
              <w:spacing w:before="240"/>
            </w:pPr>
            <w:r w:rsidRPr="00C02418">
              <w:t>Werden Probleme mit der dedizierten Schnittstelle unverzüglich erkannt, behoben und dokumentiert, und wurden während des mindestens dreimonatigen Betriebs keine schwerwiegenden Ausfälle oder Verzögerungen festgestellt?</w:t>
            </w:r>
          </w:p>
        </w:tc>
        <w:tc>
          <w:tcPr>
            <w:tcW w:w="983" w:type="pct"/>
            <w:tcBorders>
              <w:top w:val="single" w:sz="2" w:space="0" w:color="272727"/>
              <w:left w:val="single" w:sz="48" w:space="0" w:color="FFFFFF" w:themeColor="background1"/>
              <w:bottom w:val="single" w:sz="2" w:space="0" w:color="272727"/>
              <w:right w:val="nil"/>
            </w:tcBorders>
          </w:tcPr>
          <w:p w14:paraId="1EEF7005" w14:textId="77777777" w:rsidR="00CC665E" w:rsidRPr="00C02418" w:rsidRDefault="00CC665E" w:rsidP="00CD213E">
            <w:pPr>
              <w:pStyle w:val="TabelleText"/>
              <w:spacing w:before="240"/>
            </w:pPr>
          </w:p>
        </w:tc>
      </w:tr>
      <w:tr w:rsidR="005D70ED" w:rsidRPr="00201374" w14:paraId="2A227983"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6FF4166C" w14:textId="36E0ED25" w:rsidR="00CC665E" w:rsidRPr="00CD213E" w:rsidRDefault="00CD213E" w:rsidP="00CD213E">
            <w:pPr>
              <w:pStyle w:val="TabelleText"/>
              <w:spacing w:before="240"/>
              <w:rPr>
                <w:b/>
                <w:bCs/>
              </w:rPr>
            </w:pPr>
            <w:r w:rsidRPr="00CD213E">
              <w:rPr>
                <w:b/>
                <w:bCs/>
              </w:rPr>
              <w:lastRenderedPageBreak/>
              <w:t>(7)</w:t>
            </w:r>
          </w:p>
        </w:tc>
        <w:tc>
          <w:tcPr>
            <w:tcW w:w="1530" w:type="pct"/>
            <w:tcBorders>
              <w:top w:val="single" w:sz="2" w:space="0" w:color="272727"/>
              <w:left w:val="nil"/>
              <w:bottom w:val="single" w:sz="2" w:space="0" w:color="272727"/>
              <w:right w:val="single" w:sz="48" w:space="0" w:color="FFFFFF" w:themeColor="background1"/>
            </w:tcBorders>
          </w:tcPr>
          <w:p w14:paraId="32270C58" w14:textId="627453A3" w:rsidR="00CC665E" w:rsidRPr="00CD213E" w:rsidRDefault="00CC665E" w:rsidP="00CD213E">
            <w:pPr>
              <w:pStyle w:val="TabelleText"/>
              <w:spacing w:before="240"/>
              <w:rPr>
                <w:b/>
                <w:bCs/>
              </w:rPr>
            </w:pPr>
            <w:r w:rsidRPr="00CD213E">
              <w:t>Wenn die unter a und d genannten Bedingungen von den kontoführenden Zahlungsdienstleistern für einen Zeitraum von mehr als zwei aufeinanderfolgenden Kalenderwochen nicht erfüllt werden, widerrufen die zuständigen Behörden die in Abs. 6 genannte Ausnahme. Die zuständigen Behörden setzen die EBA von diesem Widerruf in Kenntnis und stellen sicher, dass der kontoführende Zahlungsdienstleister schnellstmöglich, spätestens aber innerhalb von zwei Monaten den Notfallmechanismus gemäß Abs. 4 einrichtet.</w:t>
            </w:r>
          </w:p>
        </w:tc>
        <w:tc>
          <w:tcPr>
            <w:tcW w:w="1360" w:type="pct"/>
            <w:tcBorders>
              <w:top w:val="single" w:sz="2" w:space="0" w:color="272727"/>
              <w:left w:val="nil"/>
              <w:bottom w:val="single" w:sz="2" w:space="0" w:color="272727"/>
              <w:right w:val="single" w:sz="48" w:space="0" w:color="FFFFFF" w:themeColor="background1"/>
            </w:tcBorders>
          </w:tcPr>
          <w:p w14:paraId="1F115759" w14:textId="61F8F15E" w:rsidR="00CC665E" w:rsidRPr="00CD213E" w:rsidRDefault="00CC665E" w:rsidP="00CD213E">
            <w:pPr>
              <w:pStyle w:val="TabelleText"/>
              <w:spacing w:before="240"/>
              <w:rPr>
                <w:b/>
                <w:bCs/>
              </w:rPr>
            </w:pPr>
            <w:r w:rsidRPr="00CD213E">
              <w:t>Voraussetzung für den Widerruf der Ausnahme gemäß Absatz 6 durch die zuständigen Behörden.</w:t>
            </w:r>
          </w:p>
        </w:tc>
        <w:tc>
          <w:tcPr>
            <w:tcW w:w="1013" w:type="pct"/>
            <w:tcBorders>
              <w:top w:val="single" w:sz="2" w:space="0" w:color="272727"/>
              <w:left w:val="single" w:sz="48" w:space="0" w:color="FFFFFF" w:themeColor="background1"/>
              <w:bottom w:val="single" w:sz="2" w:space="0" w:color="272727"/>
              <w:right w:val="nil"/>
            </w:tcBorders>
          </w:tcPr>
          <w:p w14:paraId="7D80B1E9" w14:textId="77777777" w:rsidR="00CC665E" w:rsidRPr="00CD213E" w:rsidRDefault="00CC665E" w:rsidP="00CD213E">
            <w:pPr>
              <w:pStyle w:val="TabelleText"/>
              <w:spacing w:before="240"/>
            </w:pPr>
            <w:r w:rsidRPr="00CD213E">
              <w:t>Wie überwacht die Bank, ob die in den Buchstaben a und d genannten Bedingungen dauerhaft erfüllt werden?</w:t>
            </w:r>
          </w:p>
          <w:p w14:paraId="30A258B1" w14:textId="77777777" w:rsidR="00CC665E" w:rsidRPr="00CD213E" w:rsidRDefault="00CC665E" w:rsidP="00CD213E">
            <w:pPr>
              <w:pStyle w:val="TabelleText"/>
              <w:spacing w:before="240"/>
            </w:pPr>
            <w:r w:rsidRPr="00CD213E">
              <w:t>Welche Prozesse greifen, wenn die Bedingungen länger als zwei Kalenderwochen nicht erfüllt sind?</w:t>
            </w:r>
          </w:p>
          <w:p w14:paraId="0065ED68" w14:textId="77777777" w:rsidR="00CC665E" w:rsidRPr="00CD213E" w:rsidRDefault="00CC665E" w:rsidP="00CD213E">
            <w:pPr>
              <w:pStyle w:val="TabelleText"/>
              <w:spacing w:before="240"/>
            </w:pPr>
            <w:r w:rsidRPr="00CD213E">
              <w:t>Wie wird sichergestellt, dass ein Widerruf der Ausnahme durch die Aufsicht unverzüglich erkannt und umgesetzt wird?</w:t>
            </w:r>
          </w:p>
          <w:p w14:paraId="7750C0D4" w14:textId="23B9916C" w:rsidR="00CC665E" w:rsidRPr="00CD213E" w:rsidRDefault="00CC665E" w:rsidP="00CD213E">
            <w:pPr>
              <w:pStyle w:val="TabelleText"/>
              <w:spacing w:before="240"/>
              <w:rPr>
                <w:b/>
                <w:bCs/>
              </w:rPr>
            </w:pPr>
            <w:r w:rsidRPr="00CD213E">
              <w:t>Welche Maßnahmen existieren, um den Notfallmechanismus nach Abs. 4 innerhalb der vorgeschriebenen zwei Monate einzurichten?</w:t>
            </w:r>
          </w:p>
        </w:tc>
        <w:tc>
          <w:tcPr>
            <w:tcW w:w="983" w:type="pct"/>
            <w:tcBorders>
              <w:top w:val="single" w:sz="2" w:space="0" w:color="272727"/>
              <w:left w:val="single" w:sz="48" w:space="0" w:color="FFFFFF" w:themeColor="background1"/>
              <w:bottom w:val="single" w:sz="2" w:space="0" w:color="272727"/>
              <w:right w:val="nil"/>
            </w:tcBorders>
          </w:tcPr>
          <w:p w14:paraId="42B8F4AD" w14:textId="77777777" w:rsidR="00CC665E" w:rsidRPr="00CD213E" w:rsidRDefault="00CC665E" w:rsidP="00CD213E">
            <w:pPr>
              <w:pStyle w:val="TabelleText"/>
              <w:spacing w:before="240"/>
            </w:pPr>
            <w:r w:rsidRPr="00CD213E">
              <w:t>Wie überwacht der Dienstleister die Einhaltung der Bedingungen aus a und d, und wie meldet er Abweichungen an die Bank?</w:t>
            </w:r>
          </w:p>
          <w:p w14:paraId="34E89484" w14:textId="77777777" w:rsidR="00CC665E" w:rsidRPr="00CD213E" w:rsidRDefault="00CC665E" w:rsidP="00CD213E">
            <w:pPr>
              <w:pStyle w:val="TabelleText"/>
              <w:spacing w:before="240"/>
            </w:pPr>
            <w:r w:rsidRPr="00CD213E">
              <w:t>Welche Prozesse hat der Dienstleister, um bei einem Widerruf der Ausnahme durch die Aufsicht zu reagieren?</w:t>
            </w:r>
          </w:p>
          <w:p w14:paraId="784D9F9D" w14:textId="77777777" w:rsidR="00CC665E" w:rsidRPr="00CD213E" w:rsidRDefault="00CC665E" w:rsidP="00CD213E">
            <w:pPr>
              <w:pStyle w:val="TabelleText"/>
              <w:spacing w:before="240"/>
            </w:pPr>
            <w:r w:rsidRPr="00CD213E">
              <w:t>Wie stellt die Bank sicher, dass der Dienstleister den Notfallmechanismus innerhalb von zwei Monaten implementieren kann?</w:t>
            </w:r>
          </w:p>
          <w:p w14:paraId="70027A80" w14:textId="374BE04B" w:rsidR="00CC665E" w:rsidRPr="00CD213E" w:rsidRDefault="00CC665E" w:rsidP="00CD213E">
            <w:pPr>
              <w:pStyle w:val="TabelleText"/>
              <w:spacing w:before="240"/>
              <w:rPr>
                <w:b/>
                <w:bCs/>
              </w:rPr>
            </w:pPr>
            <w:r w:rsidRPr="00CD213E">
              <w:t>Welche Eskalationswege bestehen zwischen Bank und Dienstleister?</w:t>
            </w:r>
          </w:p>
        </w:tc>
      </w:tr>
      <w:tr w:rsidR="00CD213E" w:rsidRPr="00201374" w14:paraId="060E44BB" w14:textId="77777777" w:rsidTr="00CD213E">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3D2315F6" w14:textId="020D1C35" w:rsidR="00CD213E" w:rsidRPr="00CD213E" w:rsidRDefault="00CD213E" w:rsidP="00254198">
            <w:pPr>
              <w:pStyle w:val="TabelleText"/>
              <w:rPr>
                <w:b/>
                <w:bCs/>
              </w:rPr>
            </w:pPr>
            <w:r w:rsidRPr="00CD213E">
              <w:rPr>
                <w:b/>
                <w:bCs/>
              </w:rPr>
              <w:t>Artikel 34 – Zertifikate</w:t>
            </w:r>
          </w:p>
        </w:tc>
      </w:tr>
      <w:tr w:rsidR="005D70ED" w:rsidRPr="00201374" w14:paraId="7661D2F8"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56F5110B" w14:textId="2E72AA7F" w:rsidR="00CC665E" w:rsidRPr="00CD213E" w:rsidRDefault="00CD213E" w:rsidP="00CD213E">
            <w:pPr>
              <w:pStyle w:val="TabelleText"/>
              <w:spacing w:before="240"/>
              <w:rPr>
                <w:b/>
                <w:bCs/>
              </w:rPr>
            </w:pPr>
            <w:r>
              <w:rPr>
                <w:b/>
                <w:bCs/>
              </w:rPr>
              <w:t>(1)</w:t>
            </w:r>
          </w:p>
        </w:tc>
        <w:tc>
          <w:tcPr>
            <w:tcW w:w="1530" w:type="pct"/>
            <w:tcBorders>
              <w:top w:val="single" w:sz="2" w:space="0" w:color="272727"/>
              <w:left w:val="nil"/>
              <w:bottom w:val="single" w:sz="2" w:space="0" w:color="272727"/>
              <w:right w:val="single" w:sz="48" w:space="0" w:color="FFFFFF" w:themeColor="background1"/>
            </w:tcBorders>
          </w:tcPr>
          <w:p w14:paraId="50DB0049" w14:textId="7C9766D8" w:rsidR="00CC665E" w:rsidRPr="00CD213E" w:rsidRDefault="00CC665E" w:rsidP="00CD213E">
            <w:pPr>
              <w:pStyle w:val="TabelleText"/>
              <w:spacing w:before="240"/>
              <w:rPr>
                <w:b/>
                <w:bCs/>
              </w:rPr>
            </w:pPr>
            <w:r w:rsidRPr="00CD213E">
              <w:t xml:space="preserve">Zur Identifizierung gemäß Art. 30 Abs. 1 Buchstabe a verlassen sich die Zahlungsdienstleister auf qualifizierte Zertifikate für elektronische Siegel nach Art. 3 Abs. 30 der Verordnung (EU) Nr. 910/2014 des Europäischen Parlaments und des Rates oder für die Website-Authentifizierung nach Art. 3 Abs. 39 der genannten Verordnung. </w:t>
            </w:r>
          </w:p>
        </w:tc>
        <w:tc>
          <w:tcPr>
            <w:tcW w:w="1360" w:type="pct"/>
            <w:tcBorders>
              <w:top w:val="single" w:sz="2" w:space="0" w:color="272727"/>
              <w:left w:val="nil"/>
              <w:bottom w:val="single" w:sz="2" w:space="0" w:color="272727"/>
              <w:right w:val="single" w:sz="48" w:space="0" w:color="FFFFFF" w:themeColor="background1"/>
            </w:tcBorders>
          </w:tcPr>
          <w:p w14:paraId="5B237FBF" w14:textId="77777777" w:rsidR="00CC665E" w:rsidRPr="00CD213E" w:rsidRDefault="00CC665E" w:rsidP="00CD213E">
            <w:pPr>
              <w:pStyle w:val="TabelleText"/>
              <w:spacing w:before="240"/>
            </w:pPr>
            <w:r w:rsidRPr="00CD213E">
              <w:t xml:space="preserve">Nur autorisierte Zahlungsdienstleister dürfen auf Zahlungskonten zugreifen. Diese müssen bestimmte offizielle elektronische Zertifikate nutzen, um sich gegenüber anderen Marktteilnehmern sicher auszuweisen. </w:t>
            </w:r>
          </w:p>
          <w:p w14:paraId="278D10ED" w14:textId="77777777" w:rsidR="00CC665E" w:rsidRPr="00CD213E" w:rsidRDefault="00CC665E" w:rsidP="00CD213E">
            <w:pPr>
              <w:pStyle w:val="TabelleText"/>
              <w:spacing w:before="240"/>
            </w:pPr>
            <w:r w:rsidRPr="00CD213E">
              <w:t xml:space="preserve">Diese Zertifikate bestätigen: </w:t>
            </w:r>
          </w:p>
          <w:p w14:paraId="69CF1941" w14:textId="77777777" w:rsidR="00CC665E" w:rsidRPr="00CD213E" w:rsidRDefault="00CC665E" w:rsidP="00CD213E">
            <w:pPr>
              <w:pStyle w:val="TabelleText"/>
              <w:spacing w:before="240"/>
            </w:pPr>
            <w:r w:rsidRPr="00CD213E">
              <w:lastRenderedPageBreak/>
              <w:t xml:space="preserve">- welche Rolle der Dienstleister hat (z. B. kontoführende Bank, Zahlungsauslöser, Kontoinformationsdienst, kartenausgebende Stelle) </w:t>
            </w:r>
          </w:p>
          <w:p w14:paraId="4908C58E" w14:textId="77777777" w:rsidR="00CC665E" w:rsidRPr="00CD213E" w:rsidRDefault="00CC665E" w:rsidP="00CD213E">
            <w:pPr>
              <w:pStyle w:val="TabelleText"/>
              <w:spacing w:before="240"/>
            </w:pPr>
            <w:r w:rsidRPr="00CD213E">
              <w:t xml:space="preserve">- unter welcher offiziellen Zulassungsnummer er im PSD2 Register eingetragen ist </w:t>
            </w:r>
          </w:p>
          <w:p w14:paraId="708FA47C" w14:textId="77777777" w:rsidR="00CC665E" w:rsidRPr="00CD213E" w:rsidRDefault="00CC665E" w:rsidP="00CD213E">
            <w:pPr>
              <w:pStyle w:val="TabelleText"/>
              <w:spacing w:before="240"/>
            </w:pPr>
            <w:r w:rsidRPr="00CD213E">
              <w:t xml:space="preserve">- welche Aufsichtsbehörde (z. B. BaFin) zuständig ist </w:t>
            </w:r>
          </w:p>
          <w:p w14:paraId="7CA6DD76" w14:textId="45CDE047" w:rsidR="00CC665E" w:rsidRPr="00CD213E" w:rsidRDefault="00CC665E" w:rsidP="00CD213E">
            <w:pPr>
              <w:pStyle w:val="TabelleText"/>
              <w:spacing w:before="240"/>
              <w:rPr>
                <w:b/>
                <w:bCs/>
              </w:rPr>
            </w:pPr>
            <w:r w:rsidRPr="00CD213E">
              <w:t>Diese Zertifikate müssen EU weit interoperabel und anerkannt sein, d.</w:t>
            </w:r>
            <w:r w:rsidR="008B1C27">
              <w:t xml:space="preserve"> </w:t>
            </w:r>
            <w:r w:rsidRPr="00CD213E">
              <w:t>h. alle Beteiligten können problemlos miteinander arbeiten, unabhängig davon, welches System, welche Bank oder welcher Dienstleister beteiligt ist.</w:t>
            </w:r>
          </w:p>
        </w:tc>
        <w:tc>
          <w:tcPr>
            <w:tcW w:w="1013" w:type="pct"/>
            <w:tcBorders>
              <w:top w:val="single" w:sz="2" w:space="0" w:color="272727"/>
              <w:left w:val="single" w:sz="48" w:space="0" w:color="FFFFFF" w:themeColor="background1"/>
              <w:bottom w:val="single" w:sz="2" w:space="0" w:color="272727"/>
              <w:right w:val="nil"/>
            </w:tcBorders>
          </w:tcPr>
          <w:p w14:paraId="41B25A34" w14:textId="77777777" w:rsidR="00CC665E" w:rsidRPr="00CD213E" w:rsidRDefault="00CC665E" w:rsidP="00CD213E">
            <w:pPr>
              <w:pStyle w:val="TabelleText"/>
              <w:spacing w:before="240"/>
            </w:pPr>
            <w:r w:rsidRPr="00CD213E">
              <w:lastRenderedPageBreak/>
              <w:t>Eigene Zertifizierung:</w:t>
            </w:r>
          </w:p>
          <w:p w14:paraId="723B530E" w14:textId="77777777" w:rsidR="00CC665E" w:rsidRPr="00CD213E" w:rsidRDefault="00CC665E" w:rsidP="00CD213E">
            <w:pPr>
              <w:pStyle w:val="TabelleText"/>
              <w:spacing w:before="240"/>
            </w:pPr>
            <w:r w:rsidRPr="00CD213E">
              <w:t>- Wer ist intern verantwortlich für die Verwaltung, Überwachung und Erneuerung der Zertifikate?</w:t>
            </w:r>
          </w:p>
          <w:p w14:paraId="167E7022" w14:textId="77777777" w:rsidR="00CC665E" w:rsidRPr="00CD213E" w:rsidRDefault="00CC665E" w:rsidP="00CD213E">
            <w:pPr>
              <w:pStyle w:val="TabelleText"/>
              <w:spacing w:before="240"/>
            </w:pPr>
            <w:r w:rsidRPr="00CD213E">
              <w:t xml:space="preserve">Externe (TPP)-Zertifizierungen: </w:t>
            </w:r>
          </w:p>
          <w:p w14:paraId="0BA08B31" w14:textId="77777777" w:rsidR="00CC665E" w:rsidRPr="00CD213E" w:rsidRDefault="00CC665E" w:rsidP="00CD213E">
            <w:pPr>
              <w:pStyle w:val="TabelleText"/>
              <w:spacing w:before="240"/>
            </w:pPr>
            <w:r w:rsidRPr="00CD213E">
              <w:lastRenderedPageBreak/>
              <w:t xml:space="preserve">- Gibt es klare Verantwortlichkeiten für: </w:t>
            </w:r>
          </w:p>
          <w:p w14:paraId="29088B2D" w14:textId="77777777" w:rsidR="00CC665E" w:rsidRPr="00CD213E" w:rsidRDefault="00CC665E" w:rsidP="00CD213E">
            <w:pPr>
              <w:pStyle w:val="TabelleText"/>
              <w:spacing w:before="240"/>
            </w:pPr>
            <w:r w:rsidRPr="00CD213E">
              <w:t>- Zertifikatsüberwachung</w:t>
            </w:r>
          </w:p>
          <w:p w14:paraId="47D015EA" w14:textId="77777777" w:rsidR="00CC665E" w:rsidRPr="00CD213E" w:rsidRDefault="00CC665E" w:rsidP="00CD213E">
            <w:pPr>
              <w:pStyle w:val="TabelleText"/>
              <w:spacing w:before="240"/>
            </w:pPr>
            <w:r w:rsidRPr="00CD213E">
              <w:t>- Erneuerung</w:t>
            </w:r>
          </w:p>
          <w:p w14:paraId="14E58050" w14:textId="39008BBB" w:rsidR="00CC665E" w:rsidRPr="00CD213E" w:rsidRDefault="00CC665E" w:rsidP="00CD213E">
            <w:pPr>
              <w:pStyle w:val="TabelleText"/>
              <w:spacing w:before="240"/>
            </w:pPr>
            <w:r w:rsidRPr="00CD213E">
              <w:t>- Zwischenfälle/Fehlermeldungen?</w:t>
            </w:r>
          </w:p>
          <w:p w14:paraId="73D9DC16" w14:textId="77777777" w:rsidR="00CC665E" w:rsidRPr="00CD213E" w:rsidRDefault="00CC665E" w:rsidP="00CD213E">
            <w:pPr>
              <w:pStyle w:val="TabelleText"/>
              <w:spacing w:before="240"/>
            </w:pPr>
            <w:r w:rsidRPr="00CD213E">
              <w:t>- Wie wird sichergestellt, dass Änderungen im PSD2</w:t>
            </w:r>
            <w:r w:rsidRPr="00CD213E">
              <w:noBreakHyphen/>
              <w:t>Register (z. B. Lizenzentzug eines TPP) berücksichtigt werden?</w:t>
            </w:r>
          </w:p>
          <w:p w14:paraId="4DDE3B2F" w14:textId="77777777" w:rsidR="00CC665E" w:rsidRPr="00CD213E" w:rsidRDefault="00CC665E" w:rsidP="00CD213E">
            <w:pPr>
              <w:pStyle w:val="TabelleText"/>
              <w:spacing w:before="240"/>
            </w:pPr>
            <w:r w:rsidRPr="00CD213E">
              <w:t>- Wie stellt die Bank sicher, dass nur TPPs mit gültigen PSD2</w:t>
            </w:r>
            <w:r w:rsidRPr="00CD213E">
              <w:noBreakHyphen/>
              <w:t xml:space="preserve">Zertifikaten Zugriff erhalten? </w:t>
            </w:r>
          </w:p>
          <w:p w14:paraId="1DAC3C6F" w14:textId="77777777" w:rsidR="00CC665E" w:rsidRPr="00CD213E" w:rsidRDefault="00CC665E" w:rsidP="00CD213E">
            <w:pPr>
              <w:pStyle w:val="TabelleText"/>
              <w:spacing w:before="240"/>
            </w:pPr>
            <w:r w:rsidRPr="00CD213E">
              <w:t>- Wie stellt die Bank sicher, dass ein TPP nicht mehr Berechtigungen erhält, als ihm laut Zertifikat und Register zustehen?</w:t>
            </w:r>
          </w:p>
          <w:p w14:paraId="0B3741C6" w14:textId="77777777" w:rsidR="00CC665E" w:rsidRPr="00CD213E" w:rsidRDefault="00CC665E" w:rsidP="00CD213E">
            <w:pPr>
              <w:pStyle w:val="TabelleText"/>
              <w:spacing w:before="240"/>
            </w:pPr>
            <w:r w:rsidRPr="00CD213E">
              <w:t xml:space="preserve">- Wie wird geprüft, ob ein Zertifikat nicht abgelaufen ist? </w:t>
            </w:r>
          </w:p>
          <w:p w14:paraId="456082E1" w14:textId="77777777" w:rsidR="00CD213E" w:rsidRDefault="00CC665E" w:rsidP="00CD213E">
            <w:pPr>
              <w:pStyle w:val="TabelleText"/>
              <w:spacing w:before="240"/>
            </w:pPr>
            <w:r w:rsidRPr="00CD213E">
              <w:t xml:space="preserve">- Wie erfolgt die Kontrolle, dass ein Zertifikat nicht gesperrt oder widerrufen wurde? </w:t>
            </w:r>
          </w:p>
          <w:p w14:paraId="259AA946" w14:textId="2289CE21" w:rsidR="00CC665E" w:rsidRPr="00CD213E" w:rsidRDefault="00CC665E" w:rsidP="00CD213E">
            <w:pPr>
              <w:pStyle w:val="TabelleText"/>
              <w:spacing w:before="240"/>
            </w:pPr>
            <w:r w:rsidRPr="00CD213E">
              <w:lastRenderedPageBreak/>
              <w:t>- Wie wird dokumentiert, dass die Zertifikatsprüfungen stattgefunden hat?</w:t>
            </w:r>
          </w:p>
          <w:p w14:paraId="33D52A14" w14:textId="1BB57A0B" w:rsidR="00CC665E" w:rsidRPr="00CD213E" w:rsidRDefault="00CC665E" w:rsidP="00CD213E">
            <w:pPr>
              <w:pStyle w:val="TabelleText"/>
              <w:spacing w:before="240"/>
            </w:pPr>
            <w:r w:rsidRPr="00CD213E">
              <w:t>- Wie werden unzulässige oder fehlerhafte Zugriffsversuche dokumentiert und bewertet?</w:t>
            </w:r>
          </w:p>
          <w:p w14:paraId="13BC1018" w14:textId="77777777" w:rsidR="00CC665E" w:rsidRPr="00CD213E" w:rsidRDefault="00CC665E" w:rsidP="00CD213E">
            <w:pPr>
              <w:pStyle w:val="TabelleText"/>
              <w:spacing w:before="240"/>
            </w:pPr>
            <w:r w:rsidRPr="00CD213E">
              <w:t>Interoperabilität:</w:t>
            </w:r>
          </w:p>
          <w:p w14:paraId="288AFC1E" w14:textId="1C17B85D" w:rsidR="00CC665E" w:rsidRPr="00CD213E" w:rsidRDefault="00CC665E" w:rsidP="00CD213E">
            <w:pPr>
              <w:pStyle w:val="TabelleText"/>
              <w:spacing w:before="240"/>
              <w:rPr>
                <w:b/>
                <w:bCs/>
              </w:rPr>
            </w:pPr>
            <w:r w:rsidRPr="00CD213E">
              <w:t>- Wie ist der Prozess, wenn ein gültiger TPP</w:t>
            </w:r>
            <w:r w:rsidRPr="00CD213E">
              <w:noBreakHyphen/>
              <w:t>Zugriff technisch abgelehnt wird?</w:t>
            </w:r>
          </w:p>
        </w:tc>
        <w:tc>
          <w:tcPr>
            <w:tcW w:w="983" w:type="pct"/>
            <w:tcBorders>
              <w:top w:val="single" w:sz="2" w:space="0" w:color="272727"/>
              <w:left w:val="single" w:sz="48" w:space="0" w:color="FFFFFF" w:themeColor="background1"/>
              <w:bottom w:val="single" w:sz="2" w:space="0" w:color="272727"/>
              <w:right w:val="nil"/>
            </w:tcBorders>
          </w:tcPr>
          <w:p w14:paraId="6475CD52" w14:textId="77777777" w:rsidR="00CC665E" w:rsidRPr="00CD213E" w:rsidRDefault="00CC665E" w:rsidP="00CD213E">
            <w:pPr>
              <w:pStyle w:val="TabelleText"/>
              <w:spacing w:before="240"/>
            </w:pPr>
            <w:r w:rsidRPr="00CD213E">
              <w:lastRenderedPageBreak/>
              <w:t>Eigene Zertifizierung:</w:t>
            </w:r>
          </w:p>
          <w:p w14:paraId="1652A180" w14:textId="77777777" w:rsidR="00CC665E" w:rsidRPr="00CD213E" w:rsidRDefault="00CC665E" w:rsidP="00CD213E">
            <w:pPr>
              <w:pStyle w:val="TabelleText"/>
              <w:spacing w:before="240"/>
            </w:pPr>
            <w:r w:rsidRPr="00CD213E">
              <w:t>- Welche Zertifikate setzt der Dienstleister im Auftrag der Bank ein?</w:t>
            </w:r>
          </w:p>
          <w:p w14:paraId="5B54472D" w14:textId="77777777" w:rsidR="00CC665E" w:rsidRPr="00CD213E" w:rsidRDefault="00CC665E" w:rsidP="00CD213E">
            <w:pPr>
              <w:pStyle w:val="TabelleText"/>
              <w:spacing w:before="240"/>
            </w:pPr>
            <w:r w:rsidRPr="00CD213E">
              <w:t>Externe (TPP)-Zertifizierungen:</w:t>
            </w:r>
          </w:p>
          <w:p w14:paraId="4B3B7013" w14:textId="77777777" w:rsidR="00CC665E" w:rsidRPr="00CD213E" w:rsidRDefault="00CC665E" w:rsidP="00CD213E">
            <w:pPr>
              <w:pStyle w:val="TabelleText"/>
              <w:spacing w:before="240"/>
            </w:pPr>
            <w:r w:rsidRPr="00CD213E">
              <w:lastRenderedPageBreak/>
              <w:t xml:space="preserve">- Wie prüft der Dienstleister die Gültigkeit und Aktualität der Zertifikate? </w:t>
            </w:r>
          </w:p>
          <w:p w14:paraId="47CF02C1" w14:textId="77777777" w:rsidR="00CC665E" w:rsidRPr="00CD213E" w:rsidRDefault="00CC665E" w:rsidP="00CD213E">
            <w:pPr>
              <w:pStyle w:val="TabelleText"/>
              <w:spacing w:before="240"/>
            </w:pPr>
            <w:r w:rsidRPr="00CD213E">
              <w:t xml:space="preserve">- Welche Prozesse bestehen beim Dienstleister für: </w:t>
            </w:r>
          </w:p>
          <w:p w14:paraId="6BA98E69" w14:textId="77777777" w:rsidR="00CC665E" w:rsidRPr="00CD213E" w:rsidRDefault="00CC665E" w:rsidP="00CD213E">
            <w:pPr>
              <w:pStyle w:val="TabelleText"/>
              <w:spacing w:before="240"/>
            </w:pPr>
            <w:r w:rsidRPr="00CD213E">
              <w:t>- Erneuerung</w:t>
            </w:r>
          </w:p>
          <w:p w14:paraId="62C94C5A" w14:textId="77777777" w:rsidR="00CC665E" w:rsidRPr="00CD213E" w:rsidRDefault="00CC665E" w:rsidP="00CD213E">
            <w:pPr>
              <w:pStyle w:val="TabelleText"/>
              <w:spacing w:before="240"/>
            </w:pPr>
            <w:r w:rsidRPr="00CD213E">
              <w:t>- Sperrungen</w:t>
            </w:r>
          </w:p>
          <w:p w14:paraId="5F82FC6C" w14:textId="77777777" w:rsidR="00CC665E" w:rsidRPr="00CD213E" w:rsidRDefault="00CC665E" w:rsidP="00CD213E">
            <w:pPr>
              <w:pStyle w:val="TabelleText"/>
              <w:spacing w:before="240"/>
            </w:pPr>
            <w:r w:rsidRPr="00CD213E">
              <w:t>- Änderungen der Rollen oder Lizenzdaten?</w:t>
            </w:r>
          </w:p>
          <w:p w14:paraId="7E39B901" w14:textId="77777777" w:rsidR="00CC665E" w:rsidRPr="00CD213E" w:rsidRDefault="00CC665E" w:rsidP="00CD213E">
            <w:pPr>
              <w:pStyle w:val="TabelleText"/>
              <w:spacing w:before="240"/>
            </w:pPr>
            <w:r w:rsidRPr="00CD213E">
              <w:t xml:space="preserve">- Wie dokumentiert der Dienstleister seine Prüfungen gegenüber der Bank? </w:t>
            </w:r>
          </w:p>
          <w:p w14:paraId="22607C41" w14:textId="77777777" w:rsidR="00CC665E" w:rsidRPr="00CD213E" w:rsidRDefault="00CC665E" w:rsidP="00CD213E">
            <w:pPr>
              <w:pStyle w:val="TabelleText"/>
              <w:spacing w:before="240"/>
            </w:pPr>
            <w:r w:rsidRPr="00CD213E">
              <w:t>Interoperabilität:</w:t>
            </w:r>
          </w:p>
          <w:p w14:paraId="76F6D54D" w14:textId="57515AB0" w:rsidR="00CC665E" w:rsidRPr="00CD213E" w:rsidRDefault="00CC665E" w:rsidP="00CD213E">
            <w:pPr>
              <w:pStyle w:val="TabelleText"/>
              <w:spacing w:before="240"/>
              <w:rPr>
                <w:b/>
                <w:bCs/>
              </w:rPr>
            </w:pPr>
            <w:r w:rsidRPr="00CD213E">
              <w:t>- Wie stellt der Dienstleister sicher, dass alle zulässigen TPPs Zugang erhalten?</w:t>
            </w:r>
          </w:p>
        </w:tc>
      </w:tr>
      <w:tr w:rsidR="005D70ED" w:rsidRPr="00201374" w14:paraId="37E9B896"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7C3EFD03" w14:textId="189AFFD8" w:rsidR="00CC665E" w:rsidRPr="00CD213E" w:rsidRDefault="00CD213E" w:rsidP="00CD213E">
            <w:pPr>
              <w:pStyle w:val="TabelleText"/>
              <w:spacing w:before="240"/>
            </w:pPr>
            <w:r w:rsidRPr="00CD213E">
              <w:lastRenderedPageBreak/>
              <w:t>(2)</w:t>
            </w:r>
          </w:p>
        </w:tc>
        <w:tc>
          <w:tcPr>
            <w:tcW w:w="1530" w:type="pct"/>
            <w:tcBorders>
              <w:top w:val="single" w:sz="2" w:space="0" w:color="272727"/>
              <w:left w:val="nil"/>
              <w:bottom w:val="single" w:sz="2" w:space="0" w:color="272727"/>
              <w:right w:val="single" w:sz="48" w:space="0" w:color="FFFFFF" w:themeColor="background1"/>
            </w:tcBorders>
          </w:tcPr>
          <w:p w14:paraId="4E939F29" w14:textId="0BA14AD2" w:rsidR="00CC665E" w:rsidRPr="00CD213E" w:rsidRDefault="00CC665E" w:rsidP="00CD213E">
            <w:pPr>
              <w:pStyle w:val="TabelleText"/>
              <w:spacing w:before="240"/>
            </w:pPr>
            <w:r w:rsidRPr="00CD213E">
              <w:t xml:space="preserve">Für die Zwecke der vorliegenden Verordnung ist die Registriernummer gemäß der amtlichen Eintragung nach Anhang III Buchstabe c oder nach Anhang IV Buchstabe c der Verordnung (EU) Nr. 910/2014 die Zulassungsnummer des Zahlungsdienstleisters, der kartengebundene Zahlungsinstrumente ausstellt, des Kontoinformationsdienstleisters oder des Zahlungsauslösedienstleisters, einschließlich der kontoführenden Zahlungsdienstleister, die die betreffenden Dienste erbringen, die nach Art. 14 der Richtlinie (EU) 2015/2366 im öffentlichen Register des Herkunftsmitgliedsstaats eingetragen ist oder die aus der in Art. 20 der Richtlinie 2013/36/EU des Europäischen Parlaments und des Rates </w:t>
            </w:r>
            <w:r w:rsidRPr="00CD213E">
              <w:lastRenderedPageBreak/>
              <w:t xml:space="preserve">vorgesehenen Anzeige einer jeden nach Art. 8 dieser Richtlinie erteilten Zulassung hervorgeht. </w:t>
            </w:r>
          </w:p>
        </w:tc>
        <w:tc>
          <w:tcPr>
            <w:tcW w:w="1360" w:type="pct"/>
            <w:tcBorders>
              <w:top w:val="single" w:sz="2" w:space="0" w:color="272727"/>
              <w:left w:val="nil"/>
              <w:bottom w:val="single" w:sz="2" w:space="0" w:color="272727"/>
              <w:right w:val="single" w:sz="48" w:space="0" w:color="FFFFFF" w:themeColor="background1"/>
            </w:tcBorders>
          </w:tcPr>
          <w:p w14:paraId="104DD511" w14:textId="4774E911" w:rsidR="00CC665E" w:rsidRPr="00CD213E" w:rsidRDefault="00CC665E" w:rsidP="00CD213E">
            <w:pPr>
              <w:pStyle w:val="TabelleText"/>
              <w:spacing w:before="240"/>
            </w:pPr>
            <w:r w:rsidRPr="00CD213E">
              <w:lastRenderedPageBreak/>
              <w:t>Siehe Absatz 1.</w:t>
            </w:r>
          </w:p>
        </w:tc>
        <w:tc>
          <w:tcPr>
            <w:tcW w:w="1013" w:type="pct"/>
            <w:tcBorders>
              <w:top w:val="single" w:sz="2" w:space="0" w:color="272727"/>
              <w:left w:val="single" w:sz="48" w:space="0" w:color="FFFFFF" w:themeColor="background1"/>
              <w:bottom w:val="single" w:sz="2" w:space="0" w:color="272727"/>
              <w:right w:val="nil"/>
            </w:tcBorders>
          </w:tcPr>
          <w:p w14:paraId="7D25ECC4" w14:textId="77777777" w:rsidR="00CC665E" w:rsidRPr="00CD213E" w:rsidRDefault="00CC665E" w:rsidP="00CD213E">
            <w:pPr>
              <w:pStyle w:val="TabelleText"/>
              <w:spacing w:before="240"/>
            </w:pPr>
            <w:r w:rsidRPr="00CD213E">
              <w:t>Wie stellt die Bank sicher, dass für alle relevanten Zahlungsdienstleister die korrekte Registrier</w:t>
            </w:r>
            <w:r w:rsidRPr="00CD213E">
              <w:noBreakHyphen/>
              <w:t xml:space="preserve"> bzw. Zulassungsnummer gemäß eIDAS</w:t>
            </w:r>
            <w:r w:rsidRPr="00CD213E">
              <w:noBreakHyphen/>
              <w:t>Verordnung (EU) 910/2014 und PSD2</w:t>
            </w:r>
            <w:r w:rsidRPr="00CD213E">
              <w:noBreakHyphen/>
              <w:t>Registerführung vorliegt?</w:t>
            </w:r>
          </w:p>
          <w:p w14:paraId="175890A8" w14:textId="77777777" w:rsidR="00CC665E" w:rsidRPr="00CD213E" w:rsidRDefault="00CC665E" w:rsidP="00CD213E">
            <w:pPr>
              <w:pStyle w:val="TabelleText"/>
              <w:spacing w:before="240"/>
            </w:pPr>
            <w:r w:rsidRPr="00CD213E">
              <w:t>Welche Prozesse existieren, um die Aktualität der im öffentlichen Register des Herkunftsmitgliedstaats eingetragenen Daten regelmäßig zu überprüfen?</w:t>
            </w:r>
          </w:p>
          <w:p w14:paraId="3D3B2590" w14:textId="77777777" w:rsidR="00CC665E" w:rsidRPr="00CD213E" w:rsidRDefault="00CC665E" w:rsidP="00CD213E">
            <w:pPr>
              <w:pStyle w:val="TabelleText"/>
              <w:spacing w:before="240"/>
            </w:pPr>
            <w:r w:rsidRPr="00CD213E">
              <w:t xml:space="preserve">Wie wird gewährleistet, dass die Registriernummer eindeutig dem </w:t>
            </w:r>
            <w:r w:rsidRPr="00CD213E">
              <w:lastRenderedPageBreak/>
              <w:t>ausstellenden Zahlungsdienstleister (Kartenaussteller, Kontoinformationsdienst, Zahlungsauslösedienst, kontoführender Zahlungsdienstleister) zugeordnet ist?</w:t>
            </w:r>
          </w:p>
          <w:p w14:paraId="14F3B99B" w14:textId="45C017CE" w:rsidR="00CC665E" w:rsidRPr="00CD213E" w:rsidRDefault="00CC665E" w:rsidP="00CD213E">
            <w:pPr>
              <w:pStyle w:val="TabelleText"/>
              <w:spacing w:before="240"/>
            </w:pPr>
            <w:r w:rsidRPr="00CD213E">
              <w:t>Gibt es interne Kontrollen, die verhindern, dass mit veralteten oder fehlerhaften Zulassungsnummern gearbeitet wird?</w:t>
            </w:r>
          </w:p>
        </w:tc>
        <w:tc>
          <w:tcPr>
            <w:tcW w:w="983" w:type="pct"/>
            <w:tcBorders>
              <w:top w:val="single" w:sz="2" w:space="0" w:color="272727"/>
              <w:left w:val="single" w:sz="48" w:space="0" w:color="FFFFFF" w:themeColor="background1"/>
              <w:bottom w:val="single" w:sz="2" w:space="0" w:color="272727"/>
              <w:right w:val="nil"/>
            </w:tcBorders>
          </w:tcPr>
          <w:p w14:paraId="048AD2A1" w14:textId="77777777" w:rsidR="00CC665E" w:rsidRPr="00CD213E" w:rsidRDefault="00CC665E" w:rsidP="00CD213E">
            <w:pPr>
              <w:pStyle w:val="TabelleText"/>
              <w:spacing w:before="240"/>
            </w:pPr>
            <w:r w:rsidRPr="00CD213E">
              <w:lastRenderedPageBreak/>
              <w:t>Wie stellt der Dienstleister sicher, dass er korrekte und aktuelle Zulassungsnummern der Zahlungsdienstleister verwendet?</w:t>
            </w:r>
          </w:p>
          <w:p w14:paraId="65242D46" w14:textId="2A6C0439" w:rsidR="00CC665E" w:rsidRPr="00CD213E" w:rsidRDefault="00CC665E" w:rsidP="00CD213E">
            <w:pPr>
              <w:pStyle w:val="TabelleText"/>
              <w:spacing w:before="240"/>
            </w:pPr>
            <w:r w:rsidRPr="00CD213E">
              <w:t>Welche Kontrollmechanismen bestehen, damit keine veralteten Zertifikate oder Nummern genutzt werden?</w:t>
            </w:r>
          </w:p>
        </w:tc>
      </w:tr>
      <w:tr w:rsidR="005D70ED" w:rsidRPr="00201374" w14:paraId="177AF533"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3BEC21CB" w14:textId="72284CB5" w:rsidR="00CC665E" w:rsidRPr="00D41CB8" w:rsidRDefault="00CD213E" w:rsidP="00D41CB8">
            <w:pPr>
              <w:pStyle w:val="TabelleText"/>
            </w:pPr>
            <w:r w:rsidRPr="00D41CB8">
              <w:t>(3)</w:t>
            </w:r>
          </w:p>
        </w:tc>
        <w:tc>
          <w:tcPr>
            <w:tcW w:w="1530" w:type="pct"/>
            <w:tcBorders>
              <w:top w:val="single" w:sz="2" w:space="0" w:color="272727"/>
              <w:left w:val="nil"/>
              <w:bottom w:val="single" w:sz="2" w:space="0" w:color="272727"/>
              <w:right w:val="single" w:sz="48" w:space="0" w:color="FFFFFF" w:themeColor="background1"/>
            </w:tcBorders>
          </w:tcPr>
          <w:p w14:paraId="5DB7AE1F" w14:textId="77777777" w:rsidR="00CC665E" w:rsidRPr="00D41CB8" w:rsidRDefault="00CC665E" w:rsidP="00D41CB8">
            <w:pPr>
              <w:pStyle w:val="TabelleText"/>
            </w:pPr>
            <w:r w:rsidRPr="00D41CB8">
              <w:t>Für die Zwecke der vorliegenden Verordnung enthalten die in Abs. 1 genannten qualifizierten Zertifikate für elektronische Siegel oder für die Website-Authentifizierung zusätzliche spezifische Attribute bezüglich einer jeden der folgenden Angaben in einer im Finanzsektor gebräuchlichen Sprache:</w:t>
            </w:r>
          </w:p>
          <w:p w14:paraId="608B9C6C" w14:textId="65031DDE" w:rsidR="00CC665E" w:rsidRPr="00D41CB8" w:rsidRDefault="00CC665E" w:rsidP="00D41CB8">
            <w:pPr>
              <w:pStyle w:val="TabelleText"/>
            </w:pPr>
            <w:r w:rsidRPr="00D41CB8">
              <w:t>a) die Rolle des Zahlungsdienstleisters, die eine oder mehrere der folgenden Funktionen umfassen kann:</w:t>
            </w:r>
          </w:p>
          <w:p w14:paraId="0CE88FF5" w14:textId="17CC776C" w:rsidR="00CC665E" w:rsidRPr="00D41CB8" w:rsidRDefault="00CC665E" w:rsidP="00D41CB8">
            <w:pPr>
              <w:pStyle w:val="TabelleText"/>
            </w:pPr>
            <w:r w:rsidRPr="00D41CB8">
              <w:t xml:space="preserve">i) Kontoführung; </w:t>
            </w:r>
          </w:p>
          <w:p w14:paraId="59A90A72" w14:textId="1A0E285A" w:rsidR="00CC665E" w:rsidRPr="00D41CB8" w:rsidRDefault="00CC665E" w:rsidP="00D41CB8">
            <w:pPr>
              <w:pStyle w:val="TabelleText"/>
            </w:pPr>
            <w:r w:rsidRPr="00D41CB8">
              <w:t xml:space="preserve">ii) Zahlungsauslösung; </w:t>
            </w:r>
          </w:p>
          <w:p w14:paraId="105A0778" w14:textId="2C2ECE6D" w:rsidR="00CC665E" w:rsidRPr="00D41CB8" w:rsidRDefault="00CC665E" w:rsidP="00D41CB8">
            <w:pPr>
              <w:pStyle w:val="TabelleText"/>
            </w:pPr>
            <w:r w:rsidRPr="00D41CB8">
              <w:t xml:space="preserve">iii) Kontoinformation; </w:t>
            </w:r>
          </w:p>
          <w:p w14:paraId="08464A85" w14:textId="1AB1FB40" w:rsidR="00CC665E" w:rsidRPr="00D41CB8" w:rsidRDefault="00CC665E" w:rsidP="00D41CB8">
            <w:pPr>
              <w:pStyle w:val="TabelleText"/>
            </w:pPr>
            <w:r w:rsidRPr="00D41CB8">
              <w:t xml:space="preserve">iv) Ausstellung kartenbasierter Zahlungsinstrumente; </w:t>
            </w:r>
          </w:p>
          <w:p w14:paraId="7666B371" w14:textId="62C640AE" w:rsidR="00CC665E" w:rsidRPr="00D41CB8" w:rsidRDefault="00CC665E" w:rsidP="00D41CB8">
            <w:pPr>
              <w:pStyle w:val="TabelleText"/>
            </w:pPr>
            <w:r w:rsidRPr="00D41CB8">
              <w:t>b) den Namen der zuständigen Behörden, bei denen der Zahlungsdienstleister eingetragen ist.</w:t>
            </w:r>
          </w:p>
        </w:tc>
        <w:tc>
          <w:tcPr>
            <w:tcW w:w="1360" w:type="pct"/>
            <w:tcBorders>
              <w:top w:val="single" w:sz="2" w:space="0" w:color="272727"/>
              <w:left w:val="nil"/>
              <w:bottom w:val="single" w:sz="2" w:space="0" w:color="272727"/>
              <w:right w:val="single" w:sz="48" w:space="0" w:color="FFFFFF" w:themeColor="background1"/>
            </w:tcBorders>
          </w:tcPr>
          <w:p w14:paraId="5CFEE9E3" w14:textId="1B6471F5" w:rsidR="00CC665E" w:rsidRPr="00D41CB8" w:rsidRDefault="00CC665E" w:rsidP="00D41CB8">
            <w:pPr>
              <w:pStyle w:val="TabelleText"/>
            </w:pPr>
            <w:r w:rsidRPr="00D41CB8">
              <w:t>Siehe Absatz 1.</w:t>
            </w:r>
          </w:p>
        </w:tc>
        <w:tc>
          <w:tcPr>
            <w:tcW w:w="1013" w:type="pct"/>
            <w:tcBorders>
              <w:top w:val="single" w:sz="2" w:space="0" w:color="272727"/>
              <w:left w:val="single" w:sz="48" w:space="0" w:color="FFFFFF" w:themeColor="background1"/>
              <w:bottom w:val="single" w:sz="2" w:space="0" w:color="272727"/>
              <w:right w:val="nil"/>
            </w:tcBorders>
          </w:tcPr>
          <w:p w14:paraId="4D17F8D3" w14:textId="77777777" w:rsidR="00CC665E" w:rsidRPr="00D41CB8" w:rsidRDefault="00CC665E" w:rsidP="00D41CB8">
            <w:pPr>
              <w:pStyle w:val="TabelleText"/>
            </w:pPr>
            <w:r w:rsidRPr="00D41CB8">
              <w:t>Wie stellt die Bank sicher, dass qualifizierte Zertifikate für elektronische Siegel oder Website</w:t>
            </w:r>
            <w:r w:rsidRPr="00D41CB8">
              <w:noBreakHyphen/>
              <w:t>Authentifizierung die zusätzlichen Attribute gemäß RTS enthalten?</w:t>
            </w:r>
          </w:p>
          <w:p w14:paraId="3A5FA2C6" w14:textId="57C72F03" w:rsidR="00CC665E" w:rsidRPr="00D41CB8" w:rsidRDefault="00CC665E" w:rsidP="00D41CB8">
            <w:pPr>
              <w:pStyle w:val="TabelleText"/>
            </w:pPr>
            <w:r w:rsidRPr="00D41CB8">
              <w:t>Gibt es Prozesse, die verhindern, dass Zertifikate ohne diese spezifischen Attribute im Zahlungsverkehr verwendet werden?</w:t>
            </w:r>
          </w:p>
        </w:tc>
        <w:tc>
          <w:tcPr>
            <w:tcW w:w="983" w:type="pct"/>
            <w:tcBorders>
              <w:top w:val="single" w:sz="2" w:space="0" w:color="272727"/>
              <w:left w:val="single" w:sz="48" w:space="0" w:color="FFFFFF" w:themeColor="background1"/>
              <w:bottom w:val="single" w:sz="2" w:space="0" w:color="272727"/>
              <w:right w:val="nil"/>
            </w:tcBorders>
          </w:tcPr>
          <w:p w14:paraId="727AFE18" w14:textId="77777777" w:rsidR="00CC665E" w:rsidRPr="00D41CB8" w:rsidRDefault="00CC665E" w:rsidP="00D41CB8">
            <w:pPr>
              <w:pStyle w:val="TabelleText"/>
            </w:pPr>
            <w:r w:rsidRPr="00D41CB8">
              <w:t>Wie prüft der Dienstleister die zusätzlichen PSD2</w:t>
            </w:r>
            <w:r w:rsidRPr="00D41CB8">
              <w:noBreakHyphen/>
              <w:t>Attribute in qualifizierten Zertifikaten?</w:t>
            </w:r>
          </w:p>
          <w:p w14:paraId="01F462B2" w14:textId="439DCCF4" w:rsidR="00CC665E" w:rsidRPr="00D41CB8" w:rsidRDefault="00CC665E" w:rsidP="00D41CB8">
            <w:pPr>
              <w:pStyle w:val="TabelleText"/>
            </w:pPr>
            <w:r w:rsidRPr="00D41CB8">
              <w:t>Wie stellt die Bank sicher, dass der Dienstleister keine Zertifikate akzeptiert, die unvollständig oder falsch sind?</w:t>
            </w:r>
          </w:p>
        </w:tc>
      </w:tr>
      <w:tr w:rsidR="005D70ED" w:rsidRPr="00201374" w14:paraId="15C3C32E"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62640E20" w14:textId="7BF5B26A" w:rsidR="00CC665E" w:rsidRPr="00CD213E" w:rsidRDefault="00CD213E" w:rsidP="00CD213E">
            <w:pPr>
              <w:pStyle w:val="TabelleText"/>
              <w:spacing w:before="240"/>
            </w:pPr>
            <w:r w:rsidRPr="00CD213E">
              <w:lastRenderedPageBreak/>
              <w:t>(4)</w:t>
            </w:r>
          </w:p>
        </w:tc>
        <w:tc>
          <w:tcPr>
            <w:tcW w:w="1530" w:type="pct"/>
            <w:tcBorders>
              <w:top w:val="single" w:sz="2" w:space="0" w:color="272727"/>
              <w:left w:val="nil"/>
              <w:bottom w:val="single" w:sz="2" w:space="0" w:color="272727"/>
              <w:right w:val="single" w:sz="48" w:space="0" w:color="FFFFFF" w:themeColor="background1"/>
            </w:tcBorders>
          </w:tcPr>
          <w:p w14:paraId="689EED4F" w14:textId="77777777" w:rsidR="00CC665E" w:rsidRPr="00CD213E" w:rsidRDefault="00CC665E" w:rsidP="00CD213E">
            <w:pPr>
              <w:pStyle w:val="TabelleText"/>
              <w:spacing w:before="240"/>
            </w:pPr>
            <w:r w:rsidRPr="00CD213E">
              <w:t>Die Interoperabilität und die Anerkennung von qualifizierten Zertifikaten für elektronische Siegel oder für die Website-Authentifizierung bleiben von den in Abs. 3 aufgeführten Attributen unberührt.</w:t>
            </w:r>
          </w:p>
          <w:p w14:paraId="5C89C6A0" w14:textId="77777777" w:rsidR="00CC665E" w:rsidRPr="00CD213E" w:rsidRDefault="00CC665E" w:rsidP="00CD213E">
            <w:pPr>
              <w:pStyle w:val="TabelleText"/>
              <w:spacing w:before="240"/>
            </w:pPr>
          </w:p>
        </w:tc>
        <w:tc>
          <w:tcPr>
            <w:tcW w:w="1360" w:type="pct"/>
            <w:tcBorders>
              <w:top w:val="single" w:sz="2" w:space="0" w:color="272727"/>
              <w:left w:val="nil"/>
              <w:bottom w:val="single" w:sz="2" w:space="0" w:color="272727"/>
              <w:right w:val="single" w:sz="48" w:space="0" w:color="FFFFFF" w:themeColor="background1"/>
            </w:tcBorders>
          </w:tcPr>
          <w:p w14:paraId="2C95DBBE" w14:textId="6DAC3A41" w:rsidR="00CC665E" w:rsidRPr="00CD213E" w:rsidRDefault="00CC665E" w:rsidP="00CD213E">
            <w:pPr>
              <w:pStyle w:val="TabelleText"/>
              <w:spacing w:before="240"/>
            </w:pPr>
            <w:r w:rsidRPr="00CD213E">
              <w:t>Siehe Absatz 1.</w:t>
            </w:r>
          </w:p>
        </w:tc>
        <w:tc>
          <w:tcPr>
            <w:tcW w:w="1013" w:type="pct"/>
            <w:tcBorders>
              <w:top w:val="single" w:sz="2" w:space="0" w:color="272727"/>
              <w:left w:val="single" w:sz="48" w:space="0" w:color="FFFFFF" w:themeColor="background1"/>
              <w:bottom w:val="single" w:sz="2" w:space="0" w:color="272727"/>
              <w:right w:val="nil"/>
            </w:tcBorders>
          </w:tcPr>
          <w:p w14:paraId="59800E27" w14:textId="77777777" w:rsidR="00CC665E" w:rsidRPr="00CD213E" w:rsidRDefault="00CC665E" w:rsidP="00CD213E">
            <w:pPr>
              <w:pStyle w:val="TabelleText"/>
              <w:spacing w:before="240"/>
            </w:pPr>
            <w:r w:rsidRPr="00CD213E">
              <w:t>Wie stellt die Bank sicher, dass die Interoperabilität qualifizierter Zertifikate nicht durch die zusätzlichen Attribute aus Abs. 3 beeinträchtigt wird?</w:t>
            </w:r>
          </w:p>
          <w:p w14:paraId="0C1BC5EB" w14:textId="7671A948" w:rsidR="00CC665E" w:rsidRPr="00CD213E" w:rsidRDefault="00CC665E" w:rsidP="00CD213E">
            <w:pPr>
              <w:pStyle w:val="TabelleText"/>
              <w:spacing w:before="240"/>
            </w:pPr>
            <w:r w:rsidRPr="00CD213E">
              <w:t>Gibt es Prozesse, die sicherstellen, dass technische Systeme der Bank keine Zertifikate ablehnen, nur weil sie zusätzliche PSD2</w:t>
            </w:r>
            <w:r w:rsidRPr="00CD213E">
              <w:noBreakHyphen/>
              <w:t>Attribute enthalten?</w:t>
            </w:r>
          </w:p>
        </w:tc>
        <w:tc>
          <w:tcPr>
            <w:tcW w:w="983" w:type="pct"/>
            <w:tcBorders>
              <w:top w:val="single" w:sz="2" w:space="0" w:color="272727"/>
              <w:left w:val="single" w:sz="48" w:space="0" w:color="FFFFFF" w:themeColor="background1"/>
              <w:bottom w:val="single" w:sz="2" w:space="0" w:color="272727"/>
              <w:right w:val="nil"/>
            </w:tcBorders>
          </w:tcPr>
          <w:p w14:paraId="1C3432AD" w14:textId="77777777" w:rsidR="00CC665E" w:rsidRPr="00CD213E" w:rsidRDefault="00CC665E" w:rsidP="00CD213E">
            <w:pPr>
              <w:pStyle w:val="TabelleText"/>
              <w:spacing w:before="240"/>
            </w:pPr>
            <w:r w:rsidRPr="00CD213E">
              <w:t>Wie stellt der Dienstleister sicher, dass zusätzliche PSD2</w:t>
            </w:r>
            <w:r w:rsidRPr="00CD213E">
              <w:noBreakHyphen/>
              <w:t>Attribute die Interoperabilität nicht beeinträchtigen?</w:t>
            </w:r>
          </w:p>
          <w:p w14:paraId="325EA5F3" w14:textId="77777777" w:rsidR="00CC665E" w:rsidRPr="00CD213E" w:rsidRDefault="00CC665E" w:rsidP="00CD213E">
            <w:pPr>
              <w:pStyle w:val="TabelleText"/>
              <w:spacing w:before="240"/>
            </w:pPr>
            <w:r w:rsidRPr="00CD213E">
              <w:t>Welche Tests führt der Dienstleister durch, um die EU</w:t>
            </w:r>
            <w:r w:rsidRPr="00CD213E">
              <w:noBreakHyphen/>
              <w:t>weite Anerkennung der Zertifikate sicherzustellen?</w:t>
            </w:r>
          </w:p>
          <w:p w14:paraId="20847D33" w14:textId="01783189" w:rsidR="00CC665E" w:rsidRPr="00CD213E" w:rsidRDefault="00CC665E" w:rsidP="00CD213E">
            <w:pPr>
              <w:pStyle w:val="TabelleText"/>
              <w:spacing w:before="240"/>
            </w:pPr>
            <w:r w:rsidRPr="00CD213E">
              <w:t>Wie informiert der Dienstleister die Bank über Kompatibilitätsprobleme?</w:t>
            </w:r>
          </w:p>
        </w:tc>
      </w:tr>
      <w:tr w:rsidR="00CD213E" w:rsidRPr="00201374" w14:paraId="0227456F" w14:textId="77777777" w:rsidTr="00CD213E">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2152D7A3" w14:textId="337EC282" w:rsidR="00CD213E" w:rsidRPr="00CD213E" w:rsidRDefault="00CD213E" w:rsidP="00254198">
            <w:pPr>
              <w:pStyle w:val="TabelleText"/>
              <w:rPr>
                <w:b/>
                <w:bCs/>
                <w:color w:val="000000" w:themeColor="text1"/>
              </w:rPr>
            </w:pPr>
            <w:r w:rsidRPr="00CD213E">
              <w:rPr>
                <w:b/>
                <w:bCs/>
              </w:rPr>
              <w:t>Artikel 35 - Sicherheit von Kommunikationssitzungen</w:t>
            </w:r>
          </w:p>
        </w:tc>
      </w:tr>
      <w:tr w:rsidR="005D70ED" w:rsidRPr="00201374" w14:paraId="5CF91A3A"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27364FFC" w14:textId="537E6D54" w:rsidR="00CC665E" w:rsidRPr="00201374" w:rsidRDefault="00CD213E" w:rsidP="00CD213E">
            <w:pPr>
              <w:pStyle w:val="TabelleText"/>
              <w:spacing w:before="240"/>
            </w:pPr>
            <w:r>
              <w:t>(1)</w:t>
            </w:r>
          </w:p>
        </w:tc>
        <w:tc>
          <w:tcPr>
            <w:tcW w:w="1530" w:type="pct"/>
            <w:tcBorders>
              <w:top w:val="single" w:sz="2" w:space="0" w:color="272727"/>
              <w:left w:val="nil"/>
              <w:bottom w:val="single" w:sz="2" w:space="0" w:color="272727"/>
              <w:right w:val="single" w:sz="48" w:space="0" w:color="FFFFFF" w:themeColor="background1"/>
            </w:tcBorders>
          </w:tcPr>
          <w:p w14:paraId="31340A03" w14:textId="30FA05CF" w:rsidR="00CC665E" w:rsidRPr="00201374" w:rsidRDefault="00CC665E" w:rsidP="00CD213E">
            <w:pPr>
              <w:pStyle w:val="TabelleText"/>
              <w:spacing w:before="240"/>
            </w:pPr>
            <w:r w:rsidRPr="00201374">
              <w:t xml:space="preserve">Kontoführende Zahlungsdienstleister, Zahlungsdienstleister, die kartengebundene Zahlungsinstrumente ausstellen, Kontoinformationsdienstleister und Zahlungsauslösedienstleister gewährleisten, dass beim Datenaustausch über das Internet während der jeweiligen Kommunikationssitzung eine sichere Verschlüsselung unter Einsatz weithin anerkannter Verschlüsselungstechnologien zwischen den kommunizierenden Parteien angewendet wird, damit der Schutz der Vertraulichkeit und der Integrität der Daten gewährleistet ist. </w:t>
            </w:r>
          </w:p>
        </w:tc>
        <w:tc>
          <w:tcPr>
            <w:tcW w:w="1360" w:type="pct"/>
            <w:tcBorders>
              <w:top w:val="single" w:sz="2" w:space="0" w:color="272727"/>
              <w:left w:val="nil"/>
              <w:bottom w:val="single" w:sz="2" w:space="0" w:color="272727"/>
              <w:right w:val="single" w:sz="48" w:space="0" w:color="FFFFFF" w:themeColor="background1"/>
            </w:tcBorders>
          </w:tcPr>
          <w:p w14:paraId="713EC3F1" w14:textId="22083C32" w:rsidR="00CC665E" w:rsidRPr="00201374" w:rsidRDefault="00CC665E" w:rsidP="00CD213E">
            <w:pPr>
              <w:pStyle w:val="TabelleText"/>
              <w:spacing w:before="240"/>
            </w:pPr>
            <w:r w:rsidRPr="00201374">
              <w:t>Regelt die technischen Mindestanforderungen an die sichere Kommunikation im Rahmen der PSD2.</w:t>
            </w:r>
          </w:p>
          <w:p w14:paraId="0FEFEDB7" w14:textId="77777777" w:rsidR="00CC665E" w:rsidRPr="00201374" w:rsidRDefault="00CC665E" w:rsidP="00CD213E">
            <w:pPr>
              <w:pStyle w:val="TabelleText"/>
              <w:spacing w:before="240"/>
            </w:pPr>
            <w:r w:rsidRPr="00201374">
              <w:t>Sichere Ende-zu-Ende-Kommunikation:</w:t>
            </w:r>
          </w:p>
          <w:p w14:paraId="3470D8C0" w14:textId="02BDA028" w:rsidR="00CC665E" w:rsidRPr="00201374" w:rsidRDefault="00CC665E" w:rsidP="00CD213E">
            <w:pPr>
              <w:pStyle w:val="TabelleText"/>
              <w:spacing w:before="240"/>
            </w:pPr>
            <w:r w:rsidRPr="00201374">
              <w:t>Zahlungsdienstleister müssen bei jeder internetbasierten Kommunikation während der gesamten Sitzung eine sichere Verschlüsselung einsetzen, die weithin anerkannten Standards entspricht (z. B. TLS/HTTPS), um Vertraulichkeit und Integrität zu gewährleisten.</w:t>
            </w:r>
          </w:p>
        </w:tc>
        <w:tc>
          <w:tcPr>
            <w:tcW w:w="1013" w:type="pct"/>
            <w:tcBorders>
              <w:top w:val="single" w:sz="2" w:space="0" w:color="272727"/>
              <w:left w:val="single" w:sz="48" w:space="0" w:color="FFFFFF" w:themeColor="background1"/>
              <w:bottom w:val="single" w:sz="2" w:space="0" w:color="272727"/>
              <w:right w:val="nil"/>
            </w:tcBorders>
          </w:tcPr>
          <w:p w14:paraId="1C67C235" w14:textId="77777777" w:rsidR="00CC665E" w:rsidRPr="00201374" w:rsidRDefault="00CC665E" w:rsidP="00CD213E">
            <w:pPr>
              <w:pStyle w:val="TabelleText"/>
              <w:spacing w:before="240"/>
            </w:pPr>
            <w:r w:rsidRPr="00201374">
              <w:t>Encryption siehe oben z. B. TLS 1.2.</w:t>
            </w:r>
          </w:p>
          <w:p w14:paraId="26F40625" w14:textId="3FB5DCB9" w:rsidR="00CC665E" w:rsidRPr="00201374" w:rsidRDefault="00CC665E" w:rsidP="00CD213E">
            <w:pPr>
              <w:pStyle w:val="TabelleText"/>
              <w:spacing w:before="240"/>
            </w:pPr>
            <w:r w:rsidRPr="00201374">
              <w:t>Erneuerung der Zertifikate auf Webserverseite prüfen, ob diese den aktuellen Standards genügen für Laufzeit, Schlüsselstärke (Post-Quantum-Safe z. B. mit elliptic curves?).</w:t>
            </w:r>
          </w:p>
          <w:p w14:paraId="5E7E3FDE" w14:textId="3EE175E8" w:rsidR="00CC665E" w:rsidRPr="00201374" w:rsidRDefault="00CC665E" w:rsidP="00CD213E">
            <w:pPr>
              <w:pStyle w:val="TabelleText"/>
              <w:spacing w:before="240"/>
            </w:pPr>
            <w:r w:rsidRPr="00201374">
              <w:t>TLS/HTTPS auf allen internetbasierten Kanälen, Schutz von Vertraulichkeit/Integrität.</w:t>
            </w:r>
          </w:p>
          <w:p w14:paraId="3DF63C0B" w14:textId="6A7527CF" w:rsidR="00CC665E" w:rsidRPr="00201374" w:rsidRDefault="00CC665E" w:rsidP="00CD213E">
            <w:pPr>
              <w:pStyle w:val="TabelleText"/>
              <w:spacing w:before="240"/>
            </w:pPr>
            <w:r w:rsidRPr="00201374">
              <w:lastRenderedPageBreak/>
              <w:t>Verbot unsicherer Protokolle und schwacher Cipher Suites; strikte Zertifikatsprüfung.</w:t>
            </w:r>
          </w:p>
          <w:p w14:paraId="2A6A4219" w14:textId="77777777" w:rsidR="00CC665E" w:rsidRPr="00201374" w:rsidRDefault="00CC665E" w:rsidP="00CD213E">
            <w:pPr>
              <w:pStyle w:val="TabelleText"/>
              <w:spacing w:before="240"/>
            </w:pPr>
            <w:r w:rsidRPr="00201374">
              <w:t>Umsetzung „Encrypt data in transit“ gemäß ASF-Vorgaben</w:t>
            </w:r>
          </w:p>
          <w:p w14:paraId="602F501C" w14:textId="2B852AEF" w:rsidR="00CC665E" w:rsidRPr="00201374" w:rsidRDefault="00CC665E" w:rsidP="00CD213E">
            <w:pPr>
              <w:pStyle w:val="TabelleText"/>
              <w:spacing w:before="240"/>
            </w:pPr>
            <w:r w:rsidRPr="00201374">
              <w:t>E-Mail-Transportverschlüsselung (WebMail/TLS) und Nachweis der Prozesse.</w:t>
            </w:r>
          </w:p>
          <w:p w14:paraId="68381869" w14:textId="2ECCDA88" w:rsidR="00CC665E" w:rsidRPr="00201374" w:rsidRDefault="00CC665E" w:rsidP="00CD213E">
            <w:pPr>
              <w:pStyle w:val="TabelleText"/>
              <w:spacing w:before="240"/>
              <w:rPr>
                <w:color w:val="000000" w:themeColor="text1"/>
              </w:rPr>
            </w:pPr>
            <w:r w:rsidRPr="00201374">
              <w:t>Nachweise in Richtlinien, Konfigurationen, Testberichten.</w:t>
            </w:r>
          </w:p>
        </w:tc>
        <w:tc>
          <w:tcPr>
            <w:tcW w:w="983" w:type="pct"/>
            <w:tcBorders>
              <w:top w:val="single" w:sz="2" w:space="0" w:color="272727"/>
              <w:left w:val="single" w:sz="48" w:space="0" w:color="FFFFFF" w:themeColor="background1"/>
              <w:bottom w:val="single" w:sz="2" w:space="0" w:color="272727"/>
              <w:right w:val="nil"/>
            </w:tcBorders>
          </w:tcPr>
          <w:p w14:paraId="4EFB5849" w14:textId="77777777" w:rsidR="00CC665E" w:rsidRPr="00201374" w:rsidRDefault="00CC665E" w:rsidP="00CD213E">
            <w:pPr>
              <w:pStyle w:val="TabelleText"/>
              <w:spacing w:before="240"/>
            </w:pPr>
            <w:r w:rsidRPr="00201374">
              <w:lastRenderedPageBreak/>
              <w:t>Ende-zu-Ende-Sicherheit und Verschlüsselung:</w:t>
            </w:r>
          </w:p>
          <w:p w14:paraId="1B76BC11" w14:textId="77777777" w:rsidR="00CC665E" w:rsidRPr="00201374" w:rsidRDefault="00CC665E" w:rsidP="00CD213E">
            <w:pPr>
              <w:pStyle w:val="TabelleText"/>
              <w:spacing w:before="240"/>
            </w:pPr>
            <w:r w:rsidRPr="00201374">
              <w:t xml:space="preserve">- Welche Protokolle und Cipher Suites verwenden Sie für die Transportverschlüsselung (z. B. TLS 1.2/1.3 mit Forward Secrecy)? </w:t>
            </w:r>
          </w:p>
          <w:p w14:paraId="331A544B" w14:textId="03E866BB" w:rsidR="00CC665E" w:rsidRPr="00201374" w:rsidRDefault="00CC665E" w:rsidP="00CD213E">
            <w:pPr>
              <w:pStyle w:val="TabelleText"/>
              <w:spacing w:before="240"/>
            </w:pPr>
            <w:r w:rsidRPr="00201374">
              <w:t>- Wie stellen Sie Vertraulichkeit und Integrität sicher?</w:t>
            </w:r>
          </w:p>
          <w:p w14:paraId="413554D0" w14:textId="05B9C6D0" w:rsidR="00CC665E" w:rsidRPr="00201374" w:rsidRDefault="00CC665E" w:rsidP="00CD213E">
            <w:pPr>
              <w:pStyle w:val="TabelleText"/>
              <w:spacing w:before="240"/>
            </w:pPr>
            <w:r w:rsidRPr="00201374">
              <w:t xml:space="preserve">- Wie prüfen Sie Zertifikate (Hostname, Pinning, OCSP/CRL)? Gibt </w:t>
            </w:r>
            <w:r w:rsidRPr="00201374">
              <w:lastRenderedPageBreak/>
              <w:t>es strikte Ablehnung unsicherer Protokolle/Ciphers?</w:t>
            </w:r>
          </w:p>
          <w:p w14:paraId="36038009" w14:textId="77777777" w:rsidR="00CC665E" w:rsidRPr="00201374" w:rsidRDefault="00CC665E" w:rsidP="00CD213E">
            <w:pPr>
              <w:pStyle w:val="TabelleText"/>
              <w:spacing w:before="240"/>
            </w:pPr>
            <w:r w:rsidRPr="00201374">
              <w:t>Authentizität der Kommunikationspartner:</w:t>
            </w:r>
          </w:p>
          <w:p w14:paraId="0983C56A" w14:textId="430CD9DA" w:rsidR="00CC665E" w:rsidRPr="00201374" w:rsidRDefault="00CC665E" w:rsidP="00CD213E">
            <w:pPr>
              <w:pStyle w:val="TabelleText"/>
              <w:spacing w:before="240"/>
            </w:pPr>
            <w:r w:rsidRPr="00201374">
              <w:t>- Wie wird die beidseitige Authentisierung zwischen ASPSP und TPPs bzw. internen Komponenten umgesetzt (mTLS, zertifikatsbasierte Authentisierung)?</w:t>
            </w:r>
          </w:p>
          <w:p w14:paraId="7156C3A9" w14:textId="5F0E5430" w:rsidR="00CC665E" w:rsidRPr="00201374" w:rsidRDefault="00CC665E" w:rsidP="00CD213E">
            <w:pPr>
              <w:pStyle w:val="TabelleText"/>
              <w:spacing w:before="240"/>
            </w:pPr>
            <w:r w:rsidRPr="00201374">
              <w:t>- Wie managen Sie Schlüssel und Zertifikate (Rotation, Sperrung, HSM-Einsatz)?</w:t>
            </w:r>
          </w:p>
          <w:p w14:paraId="289D220F" w14:textId="77777777" w:rsidR="00CC665E" w:rsidRPr="00201374" w:rsidRDefault="00CC665E" w:rsidP="00CD213E">
            <w:pPr>
              <w:pStyle w:val="TabelleText"/>
              <w:spacing w:before="240"/>
            </w:pPr>
            <w:r w:rsidRPr="00201374">
              <w:t>Schutz vor Manipulation/Abhören:</w:t>
            </w:r>
          </w:p>
          <w:p w14:paraId="2F305013" w14:textId="77777777" w:rsidR="00CC665E" w:rsidRPr="00201374" w:rsidRDefault="00CC665E" w:rsidP="00CD213E">
            <w:pPr>
              <w:pStyle w:val="TabelleText"/>
              <w:spacing w:before="240"/>
            </w:pPr>
            <w:r w:rsidRPr="00201374">
              <w:t>- Welche Maßnahmen setzen Sie gegen aktive und passive Angriffe ein (HSTS, Perfect Forward Secrecy, sichere Konfigurationen, regelmäßige Penetrationstests)?</w:t>
            </w:r>
          </w:p>
          <w:p w14:paraId="28EC4B5E" w14:textId="77777777" w:rsidR="00CC665E" w:rsidRPr="00201374" w:rsidRDefault="00CC665E" w:rsidP="00CD213E">
            <w:pPr>
              <w:pStyle w:val="TabelleText"/>
              <w:spacing w:before="240"/>
            </w:pPr>
            <w:r w:rsidRPr="00201374">
              <w:t>- Wie ist Ihr Schwachstellen- und Patch-Management für Kryptokomponenten organisiert?</w:t>
            </w:r>
          </w:p>
          <w:p w14:paraId="783CAC8D" w14:textId="77777777" w:rsidR="00CC665E" w:rsidRPr="00201374" w:rsidRDefault="00CC665E" w:rsidP="00CD213E">
            <w:pPr>
              <w:pStyle w:val="TabelleText"/>
              <w:spacing w:before="240"/>
            </w:pPr>
            <w:r w:rsidRPr="00201374">
              <w:t>Konsistenz und Interoperabilität:</w:t>
            </w:r>
          </w:p>
          <w:p w14:paraId="4AB49C60" w14:textId="77777777" w:rsidR="00CC665E" w:rsidRPr="00201374" w:rsidRDefault="00CC665E" w:rsidP="00CD213E">
            <w:pPr>
              <w:pStyle w:val="TabelleText"/>
              <w:spacing w:before="240"/>
            </w:pPr>
            <w:r w:rsidRPr="00201374">
              <w:lastRenderedPageBreak/>
              <w:t>- Wie stellen Sie sicher, dass Sicherheitsanforderungen konsistent über alle PSD2-Dienste und Schnittstellen umgesetzt sind (bspw. XS2A-API, Kartenkanäle, Online-Banking)?</w:t>
            </w:r>
          </w:p>
          <w:p w14:paraId="6359B5DB" w14:textId="77777777" w:rsidR="00CC665E" w:rsidRPr="00201374" w:rsidRDefault="00CC665E" w:rsidP="00CD213E">
            <w:pPr>
              <w:pStyle w:val="TabelleText"/>
              <w:spacing w:before="240"/>
            </w:pPr>
            <w:r w:rsidRPr="00201374">
              <w:t>- Gibt es dokumentierte Test- und Abnahmeverfahren inkl. Kompatibilitäts- und Sicherheits-Regressionstests?</w:t>
            </w:r>
          </w:p>
          <w:p w14:paraId="0BC038BA" w14:textId="77777777" w:rsidR="00CC665E" w:rsidRPr="00201374" w:rsidRDefault="00CC665E" w:rsidP="00CD213E">
            <w:pPr>
              <w:pStyle w:val="TabelleText"/>
              <w:spacing w:before="240"/>
            </w:pPr>
            <w:r w:rsidRPr="00201374">
              <w:t>Stand der Technik und regelmäßige Überprüfung:</w:t>
            </w:r>
          </w:p>
          <w:p w14:paraId="684CED97" w14:textId="77777777" w:rsidR="00CC665E" w:rsidRPr="00201374" w:rsidRDefault="00CC665E" w:rsidP="00CD213E">
            <w:pPr>
              <w:pStyle w:val="TabelleText"/>
              <w:spacing w:before="240"/>
            </w:pPr>
            <w:r w:rsidRPr="00201374">
              <w:t>- Wie überwachen Sie kryptografische Best Practices und passen Protokolle/Ciphers an den Stand der Technik an? Haben Sie Migrationspläne (z. B. von TLS 1.2 auf 1.3)?</w:t>
            </w:r>
          </w:p>
          <w:p w14:paraId="430F0594" w14:textId="77777777" w:rsidR="00CC665E" w:rsidRPr="00201374" w:rsidRDefault="00CC665E" w:rsidP="00CD213E">
            <w:pPr>
              <w:pStyle w:val="TabelleText"/>
              <w:spacing w:before="240"/>
            </w:pPr>
            <w:r w:rsidRPr="00201374">
              <w:t>- Wie und in welcher Frequenz werden Sicherheitskontrollen auditiert und Berichte bereitgestellt (z. B. InfoSec-Reports, IAM-Reports, Auditberichte)?</w:t>
            </w:r>
          </w:p>
          <w:p w14:paraId="228EA20B" w14:textId="77777777" w:rsidR="00CC665E" w:rsidRPr="00201374" w:rsidRDefault="00CC665E" w:rsidP="00CD213E">
            <w:pPr>
              <w:pStyle w:val="TabelleText"/>
              <w:spacing w:before="240"/>
            </w:pPr>
            <w:r w:rsidRPr="00201374">
              <w:t>Betrugserkennung und Transaktionsüberwachung:</w:t>
            </w:r>
          </w:p>
          <w:p w14:paraId="54EB41EF" w14:textId="77777777" w:rsidR="00CC665E" w:rsidRPr="00201374" w:rsidRDefault="00CC665E" w:rsidP="00CD213E">
            <w:pPr>
              <w:pStyle w:val="TabelleText"/>
              <w:spacing w:before="240"/>
            </w:pPr>
            <w:r w:rsidRPr="00201374">
              <w:lastRenderedPageBreak/>
              <w:t>- Welche Verfahren zur Transaktionsüberwachung und Betrugserkennung gemäß PSD2 setzen Sie ein, und wie integrieren Sie diese mit den Kommunikationskanälen?</w:t>
            </w:r>
          </w:p>
          <w:p w14:paraId="0EDD20C7" w14:textId="77777777" w:rsidR="00CC665E" w:rsidRPr="00201374" w:rsidRDefault="00CC665E" w:rsidP="00CD213E">
            <w:pPr>
              <w:pStyle w:val="TabelleText"/>
              <w:spacing w:before="240"/>
            </w:pPr>
            <w:r w:rsidRPr="00201374">
              <w:t>Datenschutz und Datenflüsse:</w:t>
            </w:r>
          </w:p>
          <w:p w14:paraId="543F3C19" w14:textId="77777777" w:rsidR="00CC665E" w:rsidRPr="00201374" w:rsidRDefault="00CC665E" w:rsidP="00CD213E">
            <w:pPr>
              <w:pStyle w:val="TabelleText"/>
              <w:spacing w:before="240"/>
            </w:pPr>
            <w:r w:rsidRPr="00201374">
              <w:t>- Welche personenbezogenen Daten fließen über die PSD2-Schnittstellen, wo werden sie verarbeitet, und wie wird DSGVO-konforme Verarbeitung inkl. Drittlandtransfers sichergestellt?</w:t>
            </w:r>
          </w:p>
          <w:p w14:paraId="7F3DE8F7" w14:textId="77777777" w:rsidR="00CC665E" w:rsidRPr="00201374" w:rsidRDefault="00CC665E" w:rsidP="00CD213E">
            <w:pPr>
              <w:pStyle w:val="TabelleText"/>
              <w:spacing w:before="240"/>
            </w:pPr>
            <w:r w:rsidRPr="00201374">
              <w:t>Notfallmanagement und Verfügbarkeit:</w:t>
            </w:r>
          </w:p>
          <w:p w14:paraId="051F3CE0" w14:textId="77777777" w:rsidR="00CC665E" w:rsidRPr="00201374" w:rsidRDefault="00CC665E" w:rsidP="00CD213E">
            <w:pPr>
              <w:pStyle w:val="TabelleText"/>
              <w:spacing w:before="240"/>
            </w:pPr>
            <w:r w:rsidRPr="00201374">
              <w:t>- Welche BCM-/Notfallkonzepte existieren für Kommunikationskomponenten und wie werden Recovery-Zeiten sichergestellt und getestet?</w:t>
            </w:r>
          </w:p>
          <w:p w14:paraId="33843A3F" w14:textId="77777777" w:rsidR="00CC665E" w:rsidRPr="00201374" w:rsidRDefault="00CC665E" w:rsidP="00CD213E">
            <w:pPr>
              <w:pStyle w:val="TabelleText"/>
              <w:spacing w:before="240"/>
            </w:pPr>
            <w:r w:rsidRPr="00201374">
              <w:t>Audit- und Nachweispflichten:</w:t>
            </w:r>
          </w:p>
          <w:p w14:paraId="72BB4A4A" w14:textId="77777777" w:rsidR="00CC665E" w:rsidRPr="00201374" w:rsidRDefault="00CC665E" w:rsidP="00CD213E">
            <w:pPr>
              <w:pStyle w:val="TabelleText"/>
              <w:spacing w:before="240"/>
            </w:pPr>
            <w:r w:rsidRPr="00201374">
              <w:t xml:space="preserve">- Stimmen Sie Auditrechten zu, inkl. Einsicht in Konfigurationsnachweise, Testprotokolle, </w:t>
            </w:r>
            <w:r w:rsidRPr="00201374">
              <w:lastRenderedPageBreak/>
              <w:t xml:space="preserve">Zertifikats- und Schlüsselmanagement-Dokumentation? </w:t>
            </w:r>
          </w:p>
          <w:p w14:paraId="4B0D6C1B" w14:textId="50D49F78" w:rsidR="00CC665E" w:rsidRPr="00201374" w:rsidRDefault="00CC665E" w:rsidP="00CD213E">
            <w:pPr>
              <w:pStyle w:val="TabelleText"/>
              <w:spacing w:before="240"/>
              <w:rPr>
                <w:color w:val="000000" w:themeColor="text1"/>
              </w:rPr>
            </w:pPr>
            <w:r w:rsidRPr="00201374">
              <w:t>- In welchem Turnus liefern Sie Sicherheitsberichte?</w:t>
            </w:r>
          </w:p>
        </w:tc>
      </w:tr>
      <w:tr w:rsidR="005D70ED" w:rsidRPr="00201374" w14:paraId="0EC68293"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52C97761" w14:textId="53B988A2" w:rsidR="00CC665E" w:rsidRPr="00CD213E" w:rsidRDefault="00CD213E" w:rsidP="00CD213E">
            <w:pPr>
              <w:pStyle w:val="TabelleText"/>
              <w:spacing w:before="240"/>
              <w:rPr>
                <w:b/>
                <w:bCs/>
              </w:rPr>
            </w:pPr>
            <w:r w:rsidRPr="00CD213E">
              <w:rPr>
                <w:b/>
                <w:bCs/>
              </w:rPr>
              <w:lastRenderedPageBreak/>
              <w:t>(2)</w:t>
            </w:r>
          </w:p>
        </w:tc>
        <w:tc>
          <w:tcPr>
            <w:tcW w:w="1530" w:type="pct"/>
            <w:tcBorders>
              <w:top w:val="single" w:sz="2" w:space="0" w:color="272727"/>
              <w:left w:val="nil"/>
              <w:bottom w:val="single" w:sz="2" w:space="0" w:color="272727"/>
              <w:right w:val="single" w:sz="48" w:space="0" w:color="FFFFFF" w:themeColor="background1"/>
            </w:tcBorders>
          </w:tcPr>
          <w:p w14:paraId="6A0103D1" w14:textId="6EABE687" w:rsidR="00CC665E" w:rsidRPr="00CD213E" w:rsidRDefault="00CC665E" w:rsidP="00CD213E">
            <w:pPr>
              <w:pStyle w:val="TabelleText"/>
              <w:spacing w:before="240"/>
              <w:rPr>
                <w:b/>
                <w:bCs/>
              </w:rPr>
            </w:pPr>
            <w:r w:rsidRPr="00CD213E">
              <w:t xml:space="preserve">Zahlungsdienstleister, die kartengebundene Zahlungsinstrumente ausstellen, Kontoinformationsdienstleister und Zahlungsauslösedienstleister halten die von den kontoführenden Zahlungsdienstleistern angebotenen Zugangssitzungen so kurz wie möglich und beenden eine solche Sitzung aktiv schnellstmöglich nach Abschluss der angeforderten Handlung. </w:t>
            </w:r>
          </w:p>
        </w:tc>
        <w:tc>
          <w:tcPr>
            <w:tcW w:w="1360" w:type="pct"/>
            <w:tcBorders>
              <w:top w:val="single" w:sz="2" w:space="0" w:color="272727"/>
              <w:left w:val="nil"/>
              <w:bottom w:val="single" w:sz="2" w:space="0" w:color="272727"/>
              <w:right w:val="single" w:sz="48" w:space="0" w:color="FFFFFF" w:themeColor="background1"/>
            </w:tcBorders>
          </w:tcPr>
          <w:p w14:paraId="18D14E3F" w14:textId="77777777" w:rsidR="00CC665E" w:rsidRPr="00CD213E" w:rsidRDefault="00CC665E" w:rsidP="00CD213E">
            <w:pPr>
              <w:pStyle w:val="TabelleText"/>
              <w:spacing w:before="240"/>
            </w:pPr>
            <w:r w:rsidRPr="00CD213E">
              <w:t>Schutz vor Manipulation und unbefugtem Zugriff.</w:t>
            </w:r>
          </w:p>
          <w:p w14:paraId="43FC4C0E" w14:textId="53B7ADA2" w:rsidR="00CC665E" w:rsidRPr="00CD213E" w:rsidRDefault="00CC665E" w:rsidP="00CD213E">
            <w:pPr>
              <w:pStyle w:val="TabelleText"/>
              <w:spacing w:before="240"/>
              <w:rPr>
                <w:b/>
                <w:bCs/>
              </w:rPr>
            </w:pPr>
            <w:r w:rsidRPr="00CD213E">
              <w:t>Die übertragenen Daten müssen gegen Abhören und Veränderung geschützt werden; Zertifikate sind zu prüfen, unsichere oder veraltete Protokolle dürfen nicht verwendet werden.</w:t>
            </w:r>
          </w:p>
        </w:tc>
        <w:tc>
          <w:tcPr>
            <w:tcW w:w="1013" w:type="pct"/>
            <w:tcBorders>
              <w:top w:val="single" w:sz="2" w:space="0" w:color="272727"/>
              <w:left w:val="single" w:sz="48" w:space="0" w:color="FFFFFF" w:themeColor="background1"/>
              <w:bottom w:val="single" w:sz="2" w:space="0" w:color="272727"/>
              <w:right w:val="nil"/>
            </w:tcBorders>
          </w:tcPr>
          <w:p w14:paraId="6B47A241" w14:textId="77777777" w:rsidR="00CC665E" w:rsidRPr="00CD213E" w:rsidRDefault="00CC665E" w:rsidP="00CD213E">
            <w:pPr>
              <w:pStyle w:val="TabelleText"/>
              <w:spacing w:before="240"/>
              <w:rPr>
                <w:lang w:val="en-US"/>
              </w:rPr>
            </w:pPr>
            <w:r w:rsidRPr="00CD213E">
              <w:t xml:space="preserve">Ist ein Timeout konfiguriert? Wie lange ist dieser? </w:t>
            </w:r>
            <w:r w:rsidRPr="00CD213E">
              <w:rPr>
                <w:lang w:val="en-US"/>
              </w:rPr>
              <w:t>Wo wird er enforced (Load-Balancer, Webserver?)</w:t>
            </w:r>
          </w:p>
          <w:p w14:paraId="4C9772A5" w14:textId="77777777" w:rsidR="00CC665E" w:rsidRPr="00CD213E" w:rsidRDefault="00CC665E" w:rsidP="00CD213E">
            <w:pPr>
              <w:pStyle w:val="TabelleText"/>
              <w:spacing w:before="240"/>
            </w:pPr>
            <w:r w:rsidRPr="00CD213E">
              <w:t>Zertifikats- und Schlüsselmanagement (X.509, PKI), Revocation-Checks (CRL/OCSP).</w:t>
            </w:r>
          </w:p>
          <w:p w14:paraId="09A1EB42" w14:textId="77777777" w:rsidR="00CC665E" w:rsidRPr="00CD213E" w:rsidRDefault="00CC665E" w:rsidP="00CD213E">
            <w:pPr>
              <w:pStyle w:val="TabelleText"/>
              <w:spacing w:before="240"/>
            </w:pPr>
            <w:r w:rsidRPr="00CD213E">
              <w:t>API-Client-Authentisierung für XS2A gemäß PSD2/RTS.</w:t>
            </w:r>
          </w:p>
          <w:p w14:paraId="40FE9AD7" w14:textId="488D0754" w:rsidR="00CC665E" w:rsidRPr="00CD213E" w:rsidRDefault="00CC665E" w:rsidP="00CD213E">
            <w:pPr>
              <w:pStyle w:val="TabelleText"/>
              <w:spacing w:before="240"/>
              <w:rPr>
                <w:b/>
                <w:bCs/>
                <w:color w:val="000000" w:themeColor="text1"/>
              </w:rPr>
            </w:pPr>
            <w:r w:rsidRPr="00CD213E">
              <w:t>Logging und Monitoring von Verbindungen (SIEM), Nachweise der Prüfpfade.</w:t>
            </w:r>
          </w:p>
        </w:tc>
        <w:tc>
          <w:tcPr>
            <w:tcW w:w="983" w:type="pct"/>
            <w:tcBorders>
              <w:top w:val="single" w:sz="2" w:space="0" w:color="272727"/>
              <w:left w:val="single" w:sz="48" w:space="0" w:color="FFFFFF" w:themeColor="background1"/>
              <w:bottom w:val="single" w:sz="2" w:space="0" w:color="272727"/>
              <w:right w:val="nil"/>
            </w:tcBorders>
          </w:tcPr>
          <w:p w14:paraId="0286F736" w14:textId="77777777" w:rsidR="00CC665E" w:rsidRPr="00201374" w:rsidRDefault="00CC665E" w:rsidP="00CD213E">
            <w:pPr>
              <w:pStyle w:val="TabelleText"/>
              <w:spacing w:before="240"/>
              <w:rPr>
                <w:b/>
                <w:bCs/>
                <w:color w:val="000000" w:themeColor="text1"/>
                <w:sz w:val="20"/>
                <w:szCs w:val="20"/>
              </w:rPr>
            </w:pPr>
          </w:p>
        </w:tc>
      </w:tr>
      <w:tr w:rsidR="005D70ED" w:rsidRPr="00201374" w14:paraId="5B3AA399"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0970C5F1" w14:textId="74DAD1E5" w:rsidR="00CC665E" w:rsidRPr="00CD213E" w:rsidRDefault="00CD213E" w:rsidP="00CD213E">
            <w:pPr>
              <w:pStyle w:val="TabelleText"/>
              <w:spacing w:before="240"/>
            </w:pPr>
            <w:r w:rsidRPr="00CD213E">
              <w:t>(3)</w:t>
            </w:r>
          </w:p>
        </w:tc>
        <w:tc>
          <w:tcPr>
            <w:tcW w:w="1530" w:type="pct"/>
            <w:tcBorders>
              <w:top w:val="single" w:sz="2" w:space="0" w:color="272727"/>
              <w:left w:val="nil"/>
              <w:bottom w:val="single" w:sz="2" w:space="0" w:color="272727"/>
              <w:right w:val="single" w:sz="48" w:space="0" w:color="FFFFFF" w:themeColor="background1"/>
            </w:tcBorders>
          </w:tcPr>
          <w:p w14:paraId="29F408C3" w14:textId="3E099D7D" w:rsidR="00CC665E" w:rsidRPr="00CD213E" w:rsidRDefault="00CC665E" w:rsidP="00CD213E">
            <w:pPr>
              <w:pStyle w:val="TabelleText"/>
              <w:spacing w:before="240"/>
            </w:pPr>
            <w:r w:rsidRPr="00CD213E">
              <w:t xml:space="preserve">Bestehen parallele Netzwerksitzungen mit dem kontoführenden Zahlungsdienstleister, stellen Kontoinformationsdienstleister und Zahlungsauslösedienstleister sicher, dass diese Sitzungen auf sichere Weise mit den zu dem oder den Zahlungsdienstnutzer(n) jeweils aufgebauten Sitzungen verknüpft sind, damit verhindert wird, dass die zwischen ihnen </w:t>
            </w:r>
            <w:r w:rsidRPr="00CD213E">
              <w:lastRenderedPageBreak/>
              <w:t xml:space="preserve">ausgetauschten Nachrichten oder Informationen fehlgeleitet werden können. </w:t>
            </w:r>
          </w:p>
        </w:tc>
        <w:tc>
          <w:tcPr>
            <w:tcW w:w="1360" w:type="pct"/>
            <w:tcBorders>
              <w:top w:val="single" w:sz="2" w:space="0" w:color="272727"/>
              <w:left w:val="nil"/>
              <w:bottom w:val="single" w:sz="2" w:space="0" w:color="272727"/>
              <w:right w:val="single" w:sz="48" w:space="0" w:color="FFFFFF" w:themeColor="background1"/>
            </w:tcBorders>
          </w:tcPr>
          <w:p w14:paraId="78DD2E63" w14:textId="77777777" w:rsidR="00CC665E" w:rsidRPr="00CD213E" w:rsidRDefault="00CC665E" w:rsidP="00CD213E">
            <w:pPr>
              <w:pStyle w:val="TabelleText"/>
              <w:spacing w:before="240"/>
            </w:pPr>
            <w:r w:rsidRPr="00CD213E">
              <w:lastRenderedPageBreak/>
              <w:t>Konsistenz über alle beteiligten Rollen</w:t>
            </w:r>
          </w:p>
          <w:p w14:paraId="1200EFD1" w14:textId="6ADD1208" w:rsidR="00CC665E" w:rsidRPr="00CD213E" w:rsidRDefault="00CC665E" w:rsidP="00CD213E">
            <w:pPr>
              <w:pStyle w:val="TabelleText"/>
              <w:spacing w:before="240"/>
            </w:pPr>
            <w:r w:rsidRPr="00CD213E">
              <w:t>Die Pflicht gilt für alle betroffenen Parteien: kontoführende Zahlungsdienstleister (ASPSP), kartenausgebende Zahlungsdienstleister, Kontoinformationsdienste (AIS) und Zahlungsauslösedienste (PIS) – insbesondere bei der XS2A-Kommunikation über APIs.</w:t>
            </w:r>
          </w:p>
        </w:tc>
        <w:tc>
          <w:tcPr>
            <w:tcW w:w="1013" w:type="pct"/>
            <w:tcBorders>
              <w:top w:val="single" w:sz="2" w:space="0" w:color="272727"/>
              <w:left w:val="single" w:sz="48" w:space="0" w:color="FFFFFF" w:themeColor="background1"/>
              <w:bottom w:val="single" w:sz="2" w:space="0" w:color="272727"/>
              <w:right w:val="nil"/>
            </w:tcBorders>
          </w:tcPr>
          <w:p w14:paraId="260D91F2" w14:textId="77777777" w:rsidR="00CC665E" w:rsidRPr="00CD213E" w:rsidRDefault="00CC665E" w:rsidP="00CD213E">
            <w:pPr>
              <w:pStyle w:val="TabelleText"/>
              <w:spacing w:before="240"/>
            </w:pPr>
            <w:r w:rsidRPr="00CD213E">
              <w:t>Die Verknüpfung erfolge über consentID/paymentID.</w:t>
            </w:r>
          </w:p>
          <w:p w14:paraId="576DFD87" w14:textId="77777777" w:rsidR="00CC665E" w:rsidRPr="00CD213E" w:rsidRDefault="00CC665E" w:rsidP="00CD213E">
            <w:pPr>
              <w:pStyle w:val="TabelleText"/>
              <w:spacing w:before="240"/>
            </w:pPr>
            <w:r w:rsidRPr="00CD213E">
              <w:t>Gibt es einen Penetration-Test und Aussagen für Tests zu Cross-Site-Scripting oder Injection-Angriffen?</w:t>
            </w:r>
          </w:p>
          <w:p w14:paraId="7F4EEABB" w14:textId="77777777" w:rsidR="00CC665E" w:rsidRPr="00CD213E" w:rsidRDefault="00CC665E" w:rsidP="00CD213E">
            <w:pPr>
              <w:pStyle w:val="TabelleText"/>
              <w:spacing w:before="240"/>
            </w:pPr>
            <w:r w:rsidRPr="00CD213E">
              <w:lastRenderedPageBreak/>
              <w:t>Es gibt keine Sessions. Es wird immer völlig durchauthentisiert.</w:t>
            </w:r>
          </w:p>
          <w:p w14:paraId="5C1F4946" w14:textId="77777777" w:rsidR="00CC665E" w:rsidRPr="00CD213E" w:rsidRDefault="00CC665E" w:rsidP="00CD213E">
            <w:pPr>
              <w:pStyle w:val="TabelleText"/>
              <w:spacing w:before="240"/>
            </w:pPr>
            <w:r w:rsidRPr="00CD213E">
              <w:t>Härtung der Protokolle, Forward Secrecy, aktuelle Cipher Suites.</w:t>
            </w:r>
          </w:p>
          <w:p w14:paraId="374AE171" w14:textId="77777777" w:rsidR="00CC665E" w:rsidRPr="00CD213E" w:rsidRDefault="00CC665E" w:rsidP="00CD213E">
            <w:pPr>
              <w:pStyle w:val="TabelleText"/>
              <w:spacing w:before="240"/>
            </w:pPr>
            <w:r w:rsidRPr="00CD213E">
              <w:t>Vulnerability- und Patch-Management für Kryptokomponenten.</w:t>
            </w:r>
          </w:p>
          <w:p w14:paraId="4EB76BD0" w14:textId="77777777" w:rsidR="00CC665E" w:rsidRPr="00CD213E" w:rsidRDefault="00CC665E" w:rsidP="00CD213E">
            <w:pPr>
              <w:pStyle w:val="TabelleText"/>
              <w:spacing w:before="240"/>
            </w:pPr>
            <w:r w:rsidRPr="00CD213E">
              <w:t>Penetrationstests/Red-Team-Übungen und Abdeckung gem. Pentest-Richtlinie.</w:t>
            </w:r>
          </w:p>
          <w:p w14:paraId="48FCE9A3" w14:textId="11EBA37F" w:rsidR="00CC665E" w:rsidRPr="00CD213E" w:rsidRDefault="00CC665E" w:rsidP="00CD213E">
            <w:pPr>
              <w:pStyle w:val="TabelleText"/>
              <w:spacing w:before="240"/>
            </w:pPr>
            <w:r w:rsidRPr="00CD213E">
              <w:t>Behandlung von Findings, IKS-Kontrollen und Evidenzen</w:t>
            </w:r>
          </w:p>
        </w:tc>
        <w:tc>
          <w:tcPr>
            <w:tcW w:w="983" w:type="pct"/>
            <w:tcBorders>
              <w:top w:val="single" w:sz="2" w:space="0" w:color="272727"/>
              <w:left w:val="single" w:sz="48" w:space="0" w:color="FFFFFF" w:themeColor="background1"/>
              <w:bottom w:val="single" w:sz="2" w:space="0" w:color="272727"/>
              <w:right w:val="nil"/>
            </w:tcBorders>
          </w:tcPr>
          <w:p w14:paraId="299BDB59" w14:textId="77777777" w:rsidR="00CC665E" w:rsidRPr="00CD213E" w:rsidRDefault="00CC665E" w:rsidP="00CD213E">
            <w:pPr>
              <w:pStyle w:val="TabelleText"/>
              <w:spacing w:before="240"/>
            </w:pPr>
          </w:p>
        </w:tc>
      </w:tr>
      <w:tr w:rsidR="005D70ED" w:rsidRPr="00201374" w14:paraId="4ADF7225"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63609A78" w14:textId="49A6DA5A" w:rsidR="00CC665E" w:rsidRPr="00CD213E" w:rsidRDefault="00CD213E" w:rsidP="00CD213E">
            <w:pPr>
              <w:pStyle w:val="TabelleText"/>
              <w:spacing w:before="240"/>
              <w:rPr>
                <w:b/>
                <w:bCs/>
              </w:rPr>
            </w:pPr>
            <w:r w:rsidRPr="00CD213E">
              <w:rPr>
                <w:b/>
                <w:bCs/>
              </w:rPr>
              <w:t>(4)</w:t>
            </w:r>
          </w:p>
        </w:tc>
        <w:tc>
          <w:tcPr>
            <w:tcW w:w="1530" w:type="pct"/>
            <w:tcBorders>
              <w:top w:val="single" w:sz="2" w:space="0" w:color="272727"/>
              <w:left w:val="nil"/>
              <w:bottom w:val="single" w:sz="2" w:space="0" w:color="272727"/>
              <w:right w:val="single" w:sz="48" w:space="0" w:color="FFFFFF" w:themeColor="background1"/>
            </w:tcBorders>
          </w:tcPr>
          <w:p w14:paraId="43C7FAAF" w14:textId="77777777" w:rsidR="00CC665E" w:rsidRPr="00CD213E" w:rsidRDefault="00CC665E" w:rsidP="00CD213E">
            <w:pPr>
              <w:pStyle w:val="TabelleText"/>
              <w:spacing w:before="240"/>
            </w:pPr>
            <w:r w:rsidRPr="00CD213E">
              <w:t>Kontoinformationsdienstleister, Zahlungsauslösedienstleister und Zahlungsdienstleister, die kartengebundene Zahlungsinstrumente ausstellen, liefern bei der Kommunikation mit dem kontoführenden Zahlungsdienstleister unmissverständliche Verweise auf jedes der folgenden Elemente:</w:t>
            </w:r>
          </w:p>
          <w:p w14:paraId="254BB57A" w14:textId="77777777" w:rsidR="00CC665E" w:rsidRPr="00CD213E" w:rsidRDefault="00CC665E" w:rsidP="00CD213E">
            <w:pPr>
              <w:pStyle w:val="TabelleText"/>
              <w:spacing w:before="240"/>
            </w:pPr>
            <w:r w:rsidRPr="00CD213E">
              <w:t xml:space="preserve">a) den oder die Zahlungsdienstnutzer und die entsprechende Kommunikationssitzung, damit mehrere Anforderungen von demselben oder denselben Zahlungsdienstnutzer(n) unterschieden werden können; </w:t>
            </w:r>
          </w:p>
          <w:p w14:paraId="49C30D1F" w14:textId="77777777" w:rsidR="00CC665E" w:rsidRPr="00CD213E" w:rsidRDefault="00CC665E" w:rsidP="00CD213E">
            <w:pPr>
              <w:pStyle w:val="TabelleText"/>
              <w:spacing w:before="240"/>
            </w:pPr>
            <w:r w:rsidRPr="00CD213E">
              <w:t xml:space="preserve">b) für Zahlungsauslösedienste den eindeutig identifizierten ausgelösten Zahlungsvorgang; </w:t>
            </w:r>
          </w:p>
          <w:p w14:paraId="6E517D0F" w14:textId="4A9B34AD" w:rsidR="00CC665E" w:rsidRPr="00CD213E" w:rsidRDefault="00CC665E" w:rsidP="00CD213E">
            <w:pPr>
              <w:pStyle w:val="TabelleText"/>
              <w:spacing w:before="240"/>
              <w:rPr>
                <w:b/>
                <w:bCs/>
              </w:rPr>
            </w:pPr>
            <w:r w:rsidRPr="00CD213E">
              <w:lastRenderedPageBreak/>
              <w:t xml:space="preserve">c) zur Bestätigung der Verfügbarkeit eines Geldbetrags die eindeutig identifizierte Anforderung bezüglich des für die Ausführung des kartenbasierten Zahlungsvorgangs erforderlichen Betrags. </w:t>
            </w:r>
          </w:p>
        </w:tc>
        <w:tc>
          <w:tcPr>
            <w:tcW w:w="1360" w:type="pct"/>
            <w:tcBorders>
              <w:top w:val="single" w:sz="2" w:space="0" w:color="272727"/>
              <w:left w:val="nil"/>
              <w:bottom w:val="single" w:sz="2" w:space="0" w:color="272727"/>
              <w:right w:val="single" w:sz="48" w:space="0" w:color="FFFFFF" w:themeColor="background1"/>
            </w:tcBorders>
          </w:tcPr>
          <w:p w14:paraId="1097328B" w14:textId="77777777" w:rsidR="00CC665E" w:rsidRPr="00CD213E" w:rsidRDefault="00CC665E" w:rsidP="00CD213E">
            <w:pPr>
              <w:pStyle w:val="TabelleText"/>
              <w:spacing w:before="240"/>
            </w:pPr>
            <w:r w:rsidRPr="00CD213E">
              <w:lastRenderedPageBreak/>
              <w:t>Orientierung am Stand der Technik</w:t>
            </w:r>
          </w:p>
          <w:p w14:paraId="137AB3B3" w14:textId="77777777" w:rsidR="00CC665E" w:rsidRPr="00CD213E" w:rsidRDefault="00CC665E" w:rsidP="00CD213E">
            <w:pPr>
              <w:pStyle w:val="TabelleText"/>
              <w:spacing w:before="240"/>
            </w:pPr>
            <w:r w:rsidRPr="00CD213E">
              <w:t xml:space="preserve">Es sind gängige, anerkannte Kryptoverfahren zu nutzen. </w:t>
            </w:r>
          </w:p>
          <w:p w14:paraId="654C8C27" w14:textId="77777777" w:rsidR="00CC665E" w:rsidRPr="00CD213E" w:rsidRDefault="00CC665E" w:rsidP="00CD213E">
            <w:pPr>
              <w:pStyle w:val="TabelleText"/>
              <w:spacing w:before="240"/>
            </w:pPr>
          </w:p>
          <w:p w14:paraId="47378AE8" w14:textId="3F409BED" w:rsidR="00CC665E" w:rsidRPr="00CD213E" w:rsidRDefault="00CC665E" w:rsidP="00CD213E">
            <w:pPr>
              <w:pStyle w:val="TabelleText"/>
              <w:spacing w:before="240"/>
              <w:rPr>
                <w:b/>
                <w:bCs/>
              </w:rPr>
            </w:pPr>
            <w:r w:rsidRPr="00CD213E">
              <w:t>Eigenentwicklungen kryptografischer Verfahren sind ausgeschlossen. Der Stand der Technik ist laufend zu berücksichtigen und veraltete Verfahren sind zu migrieren.</w:t>
            </w:r>
          </w:p>
        </w:tc>
        <w:tc>
          <w:tcPr>
            <w:tcW w:w="1013" w:type="pct"/>
            <w:tcBorders>
              <w:top w:val="single" w:sz="2" w:space="0" w:color="272727"/>
              <w:left w:val="single" w:sz="48" w:space="0" w:color="FFFFFF" w:themeColor="background1"/>
              <w:bottom w:val="single" w:sz="2" w:space="0" w:color="272727"/>
              <w:right w:val="nil"/>
            </w:tcBorders>
          </w:tcPr>
          <w:p w14:paraId="112E2379" w14:textId="77777777" w:rsidR="00CC665E" w:rsidRPr="00CD213E" w:rsidRDefault="00CC665E" w:rsidP="00CD213E">
            <w:pPr>
              <w:pStyle w:val="TabelleText"/>
              <w:spacing w:before="240"/>
            </w:pPr>
            <w:r w:rsidRPr="00CD213E">
              <w:t>Ist in den Logs die IP des PSU aufgeführt mit consentID/paymentID für Init.</w:t>
            </w:r>
          </w:p>
          <w:p w14:paraId="32139760" w14:textId="77777777" w:rsidR="00CC665E" w:rsidRPr="00CD213E" w:rsidRDefault="00CC665E" w:rsidP="00CD213E">
            <w:pPr>
              <w:pStyle w:val="TabelleText"/>
              <w:spacing w:before="240"/>
            </w:pPr>
            <w:r w:rsidRPr="00CD213E">
              <w:t>Ist die Schnittstelle „availability of funds“ implementiert (Swagger doc im Dev-Portal)?</w:t>
            </w:r>
          </w:p>
          <w:p w14:paraId="6BD52710" w14:textId="77777777" w:rsidR="00CC665E" w:rsidRPr="00CD213E" w:rsidRDefault="00CC665E" w:rsidP="00CD213E">
            <w:pPr>
              <w:pStyle w:val="TabelleText"/>
              <w:spacing w:before="240"/>
            </w:pPr>
            <w:r w:rsidRPr="00CD213E">
              <w:t>Einheitliche Sicherheitsstandards über ASPSP, AIS/PIS, Kartenausgebende.</w:t>
            </w:r>
          </w:p>
          <w:p w14:paraId="6B486F5F" w14:textId="77777777" w:rsidR="00CC665E" w:rsidRPr="00CD213E" w:rsidRDefault="00CC665E" w:rsidP="00CD213E">
            <w:pPr>
              <w:pStyle w:val="TabelleText"/>
              <w:spacing w:before="240"/>
            </w:pPr>
            <w:r w:rsidRPr="00CD213E">
              <w:lastRenderedPageBreak/>
              <w:t>Test- und Abnahmekonzepte für Schnittstellen; dokumentierte SfO/BIC-Prozesse.</w:t>
            </w:r>
          </w:p>
          <w:p w14:paraId="38D8B3D5" w14:textId="2CAAAD17" w:rsidR="00CC665E" w:rsidRPr="00CD213E" w:rsidRDefault="00CC665E" w:rsidP="00CD213E">
            <w:pPr>
              <w:pStyle w:val="TabelleText"/>
              <w:spacing w:before="240"/>
              <w:rPr>
                <w:b/>
                <w:bCs/>
                <w:color w:val="000000" w:themeColor="text1"/>
              </w:rPr>
            </w:pPr>
            <w:r w:rsidRPr="00CD213E">
              <w:t>Dienstleistersteuerung, Nachweise zu Sicherheitsstandards und Reporting.</w:t>
            </w:r>
          </w:p>
        </w:tc>
        <w:tc>
          <w:tcPr>
            <w:tcW w:w="983" w:type="pct"/>
            <w:tcBorders>
              <w:top w:val="single" w:sz="2" w:space="0" w:color="272727"/>
              <w:left w:val="single" w:sz="48" w:space="0" w:color="FFFFFF" w:themeColor="background1"/>
              <w:bottom w:val="single" w:sz="2" w:space="0" w:color="272727"/>
              <w:right w:val="nil"/>
            </w:tcBorders>
          </w:tcPr>
          <w:p w14:paraId="6C77CC24" w14:textId="77777777" w:rsidR="00CC665E" w:rsidRPr="00CD213E" w:rsidRDefault="00CC665E" w:rsidP="00CD213E">
            <w:pPr>
              <w:pStyle w:val="TabelleText"/>
              <w:spacing w:before="240"/>
              <w:rPr>
                <w:b/>
                <w:bCs/>
                <w:color w:val="000000" w:themeColor="text1"/>
              </w:rPr>
            </w:pPr>
          </w:p>
        </w:tc>
      </w:tr>
      <w:tr w:rsidR="005D70ED" w:rsidRPr="00201374" w14:paraId="51E001F0"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4917AC5F" w14:textId="5D06BCB1" w:rsidR="00CC665E" w:rsidRPr="00CD213E" w:rsidRDefault="00CD213E" w:rsidP="00CD213E">
            <w:pPr>
              <w:pStyle w:val="TabelleText"/>
              <w:spacing w:before="240"/>
            </w:pPr>
            <w:r w:rsidRPr="00CD213E">
              <w:t>(5)</w:t>
            </w:r>
          </w:p>
        </w:tc>
        <w:tc>
          <w:tcPr>
            <w:tcW w:w="1530" w:type="pct"/>
            <w:tcBorders>
              <w:top w:val="single" w:sz="2" w:space="0" w:color="272727"/>
              <w:left w:val="nil"/>
              <w:bottom w:val="single" w:sz="2" w:space="0" w:color="272727"/>
              <w:right w:val="single" w:sz="48" w:space="0" w:color="FFFFFF" w:themeColor="background1"/>
            </w:tcBorders>
          </w:tcPr>
          <w:p w14:paraId="5E1A70CC" w14:textId="43FAB0F4" w:rsidR="00CC665E" w:rsidRPr="00CD213E" w:rsidRDefault="00CC665E" w:rsidP="00CD213E">
            <w:pPr>
              <w:pStyle w:val="TabelleText"/>
              <w:spacing w:before="240"/>
            </w:pPr>
            <w:r w:rsidRPr="00CD213E">
              <w:t>Kontoführende Zahlungsdienstleister, Kontoinformationsdienstleister, Zahlungsauslösedienstleister und Zahlungsdienstleister, die kartengebundene Zahlungsinstrumente ausstellen, gewährleisten, dass personalisierte Sicherheitsmerkmale und Authentifizierungscodes bei ihrer Übertragung zu keiner Zeit direkt oder indirekt von Mitarbeitern gelesen werden können. Falls die Vertraulichkeit der in ihren Verantwortungsbereich fallenden personalisierten Sicherheitsmerkmale nicht mehr gegeben ist, unterrichten die betreffenden Dienstleister den betroffenen Zahlungsdienstnutzer sowie den Aussteller der personalisierten Sicherheitsmerkmale unverzüglich.</w:t>
            </w:r>
          </w:p>
        </w:tc>
        <w:tc>
          <w:tcPr>
            <w:tcW w:w="1360" w:type="pct"/>
            <w:tcBorders>
              <w:top w:val="single" w:sz="2" w:space="0" w:color="272727"/>
              <w:left w:val="nil"/>
              <w:bottom w:val="single" w:sz="2" w:space="0" w:color="272727"/>
              <w:right w:val="single" w:sz="48" w:space="0" w:color="FFFFFF" w:themeColor="background1"/>
            </w:tcBorders>
          </w:tcPr>
          <w:p w14:paraId="376635E0" w14:textId="3FBF9AB7" w:rsidR="00CC665E" w:rsidRPr="00CD213E" w:rsidRDefault="00CC665E" w:rsidP="00CD213E">
            <w:pPr>
              <w:pStyle w:val="TabelleText"/>
              <w:spacing w:before="240"/>
            </w:pPr>
            <w:r w:rsidRPr="00CD213E">
              <w:t>In der Praxis bedeutet das u. a.: verpflichtende Transportverschlüsselung (TLS) für externe und – je nach Schutzbedarf – interne Kommunikation, strikte Zertifikatsvalidierung, starke Cipher Suites, regelmäßige Updates/Patches sowie organisatorische Vorgaben und Tests (z. B. Penetrationstests) zur Absicherung der Schnittstellen.</w:t>
            </w:r>
          </w:p>
        </w:tc>
        <w:tc>
          <w:tcPr>
            <w:tcW w:w="1013" w:type="pct"/>
            <w:tcBorders>
              <w:top w:val="single" w:sz="2" w:space="0" w:color="272727"/>
              <w:left w:val="single" w:sz="48" w:space="0" w:color="FFFFFF" w:themeColor="background1"/>
              <w:bottom w:val="single" w:sz="2" w:space="0" w:color="272727"/>
              <w:right w:val="nil"/>
            </w:tcBorders>
          </w:tcPr>
          <w:p w14:paraId="5C5D06A8" w14:textId="77777777" w:rsidR="00CC665E" w:rsidRPr="00CD213E" w:rsidRDefault="00CC665E" w:rsidP="00CD213E">
            <w:pPr>
              <w:pStyle w:val="TabelleText"/>
              <w:spacing w:before="240"/>
            </w:pPr>
            <w:r w:rsidRPr="00CD213E">
              <w:t>Sind im Log irgendwelche Anteile der Authentisierung sichtbar? Werden weitere Logs erzeugt evtl. Server-Local (erfordert Test bei IBM Server-Infrastruktur).</w:t>
            </w:r>
          </w:p>
          <w:p w14:paraId="4B626946" w14:textId="77777777" w:rsidR="00CC665E" w:rsidRPr="00CD213E" w:rsidRDefault="00CC665E" w:rsidP="00CD213E">
            <w:pPr>
              <w:pStyle w:val="TabelleText"/>
              <w:spacing w:before="240"/>
            </w:pPr>
            <w:r w:rsidRPr="00CD213E">
              <w:t>Regelmäßige Aktualisierung von Protokollen/Ciphers, Migrationspläne.</w:t>
            </w:r>
          </w:p>
          <w:p w14:paraId="196D9140" w14:textId="77777777" w:rsidR="00CC665E" w:rsidRPr="00CD213E" w:rsidRDefault="00CC665E" w:rsidP="00CD213E">
            <w:pPr>
              <w:pStyle w:val="TabelleText"/>
              <w:spacing w:before="240"/>
            </w:pPr>
            <w:r w:rsidRPr="00CD213E">
              <w:t>Schulungen/Awareness, Richtlinienpflege, Audit-Trails.</w:t>
            </w:r>
          </w:p>
          <w:p w14:paraId="672DB534" w14:textId="036369C5" w:rsidR="00CC665E" w:rsidRPr="00CD213E" w:rsidRDefault="00CC665E" w:rsidP="00CD213E">
            <w:pPr>
              <w:pStyle w:val="TabelleText"/>
              <w:spacing w:before="240"/>
              <w:rPr>
                <w:color w:val="000000" w:themeColor="text1"/>
              </w:rPr>
            </w:pPr>
            <w:r w:rsidRPr="00CD213E">
              <w:t>Nachvollziehbare Testdokumentation für Audits (OSI/EZB, DORA-Kontext).</w:t>
            </w:r>
          </w:p>
        </w:tc>
        <w:tc>
          <w:tcPr>
            <w:tcW w:w="983" w:type="pct"/>
            <w:tcBorders>
              <w:top w:val="single" w:sz="2" w:space="0" w:color="272727"/>
              <w:left w:val="single" w:sz="48" w:space="0" w:color="FFFFFF" w:themeColor="background1"/>
              <w:bottom w:val="single" w:sz="2" w:space="0" w:color="272727"/>
              <w:right w:val="nil"/>
            </w:tcBorders>
          </w:tcPr>
          <w:p w14:paraId="5F8D7C22" w14:textId="77777777" w:rsidR="00CC665E" w:rsidRPr="00CD213E" w:rsidRDefault="00CC665E" w:rsidP="00CD213E">
            <w:pPr>
              <w:pStyle w:val="TabelleText"/>
              <w:spacing w:before="240"/>
              <w:rPr>
                <w:color w:val="000000" w:themeColor="text1"/>
              </w:rPr>
            </w:pPr>
          </w:p>
        </w:tc>
      </w:tr>
      <w:tr w:rsidR="005D70ED" w:rsidRPr="00201374" w14:paraId="68804B98" w14:textId="77777777" w:rsidTr="005D70ED">
        <w:trPr>
          <w:trHeight w:val="63"/>
        </w:trPr>
        <w:tc>
          <w:tcPr>
            <w:tcW w:w="5000" w:type="pct"/>
            <w:gridSpan w:val="5"/>
            <w:tcBorders>
              <w:top w:val="single" w:sz="2" w:space="0" w:color="272727"/>
              <w:left w:val="nil"/>
              <w:bottom w:val="single" w:sz="2" w:space="0" w:color="272727"/>
              <w:right w:val="single" w:sz="48" w:space="0" w:color="FFFFFF" w:themeColor="background1"/>
            </w:tcBorders>
          </w:tcPr>
          <w:p w14:paraId="1990F128" w14:textId="2C3CA648" w:rsidR="005D70ED" w:rsidRPr="005D70ED" w:rsidRDefault="005D70ED" w:rsidP="00254198">
            <w:pPr>
              <w:pStyle w:val="TabelleText"/>
              <w:rPr>
                <w:b/>
                <w:bCs/>
                <w:color w:val="000000" w:themeColor="text1"/>
              </w:rPr>
            </w:pPr>
            <w:r w:rsidRPr="005D70ED">
              <w:rPr>
                <w:b/>
                <w:bCs/>
              </w:rPr>
              <w:t>Artikel 36 – Datenaustausch</w:t>
            </w:r>
          </w:p>
        </w:tc>
      </w:tr>
      <w:tr w:rsidR="005D70ED" w:rsidRPr="00201374" w14:paraId="519318ED"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4B2BBD4B" w14:textId="6625CA94" w:rsidR="00CC665E" w:rsidRPr="005D70ED" w:rsidRDefault="005D70ED" w:rsidP="005D70ED">
            <w:pPr>
              <w:pStyle w:val="TabelleText"/>
              <w:spacing w:before="240"/>
            </w:pPr>
            <w:r w:rsidRPr="005D70ED">
              <w:t>(1)</w:t>
            </w:r>
          </w:p>
        </w:tc>
        <w:tc>
          <w:tcPr>
            <w:tcW w:w="1530" w:type="pct"/>
            <w:tcBorders>
              <w:top w:val="single" w:sz="2" w:space="0" w:color="272727"/>
              <w:left w:val="nil"/>
              <w:bottom w:val="single" w:sz="2" w:space="0" w:color="272727"/>
              <w:right w:val="single" w:sz="48" w:space="0" w:color="FFFFFF" w:themeColor="background1"/>
            </w:tcBorders>
          </w:tcPr>
          <w:p w14:paraId="4F6C8B3B" w14:textId="77777777" w:rsidR="00CC665E" w:rsidRPr="005D70ED" w:rsidRDefault="00CC665E" w:rsidP="005D70ED">
            <w:pPr>
              <w:pStyle w:val="TabelleText"/>
              <w:spacing w:before="240"/>
            </w:pPr>
            <w:r w:rsidRPr="005D70ED">
              <w:t>Die kontoführenden Zahlungsdienstleister halten jede der folgenden Anforderungen ein:</w:t>
            </w:r>
          </w:p>
          <w:p w14:paraId="5CC94E1A" w14:textId="77777777" w:rsidR="00CC665E" w:rsidRPr="005D70ED" w:rsidRDefault="00CC665E" w:rsidP="005D70ED">
            <w:pPr>
              <w:pStyle w:val="TabelleText"/>
              <w:spacing w:before="240"/>
            </w:pPr>
            <w:r w:rsidRPr="005D70ED">
              <w:lastRenderedPageBreak/>
              <w:t xml:space="preserve">a) Sie stellen den Kontoinformationsdienstleistern dieselben Informationen von bezeichneten Zahlungskonten und damit in Zusammenhang stehenden Zahlungsvorgängen bereit, die auch dem Zahlungsdienstnutzer bereitgestellt werden, wenn er den Zugang zu Kontoinformationen direkt anfordert, sofern diese Informationen keine sensiblen Zahlungsdaten enthalten. </w:t>
            </w:r>
          </w:p>
          <w:p w14:paraId="19C08573" w14:textId="77777777" w:rsidR="00CC665E" w:rsidRPr="005D70ED" w:rsidRDefault="00CC665E" w:rsidP="005D70ED">
            <w:pPr>
              <w:pStyle w:val="TabelleText"/>
              <w:spacing w:before="240"/>
            </w:pPr>
            <w:r w:rsidRPr="005D70ED">
              <w:t>b) Sie stellen den Zahlungsauslösedienstleistern sofort nach Eingang des Zahlungsauftrags dieselben Informationen über die Auslösung und die Ausführung des Zahlungsvorgangs bereit, die auch dem Zahlungsdienstnutzer bereitgestellt oder zugänglich gemacht werden, wenn dieser den Zahlungsvorgang direkt auslöst.</w:t>
            </w:r>
          </w:p>
          <w:p w14:paraId="22D3AA24" w14:textId="52D9845A" w:rsidR="00CC665E" w:rsidRPr="005D70ED" w:rsidRDefault="00CC665E" w:rsidP="005D70ED">
            <w:pPr>
              <w:pStyle w:val="TabelleText"/>
              <w:spacing w:before="240"/>
            </w:pPr>
            <w:r w:rsidRPr="005D70ED">
              <w:t xml:space="preserve">c) Sie übermitteln den Zahlungsdienstleistern auf Verlangen eine sofortige Bestätigung in Form eines einfachen „Ja“ oder „Nein“, ob der für die Ausführung eines Zahlungsvorgangs erforderliche Betrag auf dem Zahlungskonto des Zahlers verfügbar ist. </w:t>
            </w:r>
          </w:p>
        </w:tc>
        <w:tc>
          <w:tcPr>
            <w:tcW w:w="1360" w:type="pct"/>
            <w:tcBorders>
              <w:top w:val="single" w:sz="2" w:space="0" w:color="272727"/>
              <w:left w:val="nil"/>
              <w:bottom w:val="single" w:sz="2" w:space="0" w:color="272727"/>
              <w:right w:val="single" w:sz="48" w:space="0" w:color="FFFFFF" w:themeColor="background1"/>
            </w:tcBorders>
          </w:tcPr>
          <w:p w14:paraId="75DD6224" w14:textId="77777777" w:rsidR="00CC665E" w:rsidRPr="005D70ED" w:rsidRDefault="00CC665E" w:rsidP="005D70ED">
            <w:pPr>
              <w:pStyle w:val="TabelleText"/>
              <w:spacing w:before="240"/>
            </w:pPr>
            <w:r w:rsidRPr="005D70ED">
              <w:lastRenderedPageBreak/>
              <w:t xml:space="preserve">Kontoführende Zahlungsdienstleister müssen: </w:t>
            </w:r>
          </w:p>
          <w:p w14:paraId="490AEFC5" w14:textId="77777777" w:rsidR="00CC665E" w:rsidRPr="005D70ED" w:rsidRDefault="00CC665E" w:rsidP="005D70ED">
            <w:pPr>
              <w:pStyle w:val="TabelleText"/>
              <w:spacing w:before="240"/>
            </w:pPr>
            <w:r w:rsidRPr="005D70ED">
              <w:lastRenderedPageBreak/>
              <w:t>a) Kontoinformationsdienstleistern dieselben nicht</w:t>
            </w:r>
            <w:r w:rsidRPr="005D70ED">
              <w:noBreakHyphen/>
              <w:t>sensiblen Kontoinformationen bereitstellen wie dem Nutzer selbst.</w:t>
            </w:r>
          </w:p>
          <w:p w14:paraId="439D3999" w14:textId="77777777" w:rsidR="00CC665E" w:rsidRPr="005D70ED" w:rsidRDefault="00CC665E" w:rsidP="005D70ED">
            <w:pPr>
              <w:pStyle w:val="TabelleText"/>
              <w:spacing w:before="240"/>
            </w:pPr>
            <w:r w:rsidRPr="005D70ED">
              <w:t>b) Zahlungsauslösedienstleistern unmittelbar die gleichen Informationen zur Auslösung und Ausführung eines Zahlungsvorgangs wie dem Nutzer liefern</w:t>
            </w:r>
          </w:p>
          <w:p w14:paraId="2D32E98A" w14:textId="2FB58EC1" w:rsidR="00CC665E" w:rsidRPr="005D70ED" w:rsidRDefault="00CC665E" w:rsidP="005D70ED">
            <w:pPr>
              <w:pStyle w:val="TabelleText"/>
              <w:spacing w:before="240"/>
            </w:pPr>
            <w:r w:rsidRPr="005D70ED">
              <w:t>c) auf Anfrage sofort bestätigen, ob ausreichende Kontodeckung (Ja/Nein) für den Zahlungsvorgang vorhanden ist.</w:t>
            </w:r>
          </w:p>
        </w:tc>
        <w:tc>
          <w:tcPr>
            <w:tcW w:w="1013" w:type="pct"/>
            <w:tcBorders>
              <w:top w:val="single" w:sz="2" w:space="0" w:color="272727"/>
              <w:left w:val="single" w:sz="48" w:space="0" w:color="FFFFFF" w:themeColor="background1"/>
              <w:bottom w:val="single" w:sz="2" w:space="0" w:color="272727"/>
              <w:right w:val="nil"/>
            </w:tcBorders>
          </w:tcPr>
          <w:p w14:paraId="6214BF01" w14:textId="4FE97A6D" w:rsidR="00CC665E" w:rsidRPr="005D70ED" w:rsidRDefault="00CC665E" w:rsidP="005D70ED">
            <w:pPr>
              <w:pStyle w:val="TabelleText"/>
              <w:spacing w:before="240"/>
            </w:pPr>
            <w:r w:rsidRPr="005D70ED">
              <w:lastRenderedPageBreak/>
              <w:t>Vergl</w:t>
            </w:r>
            <w:r w:rsidR="005D70ED" w:rsidRPr="005D70ED">
              <w:t>e</w:t>
            </w:r>
            <w:r w:rsidRPr="005D70ED">
              <w:t xml:space="preserve">ich der Daten, die über die API an KID und ZAD ausgegeben werden, mit den Daten, die der </w:t>
            </w:r>
            <w:r w:rsidRPr="005D70ED">
              <w:lastRenderedPageBreak/>
              <w:t>Kunde online erhält (z. B. über Online-Banking).</w:t>
            </w:r>
          </w:p>
          <w:p w14:paraId="35BADE48" w14:textId="77777777" w:rsidR="00CC665E" w:rsidRPr="005D70ED" w:rsidRDefault="00CC665E" w:rsidP="005D70ED">
            <w:pPr>
              <w:pStyle w:val="TabelleText"/>
              <w:spacing w:before="240"/>
            </w:pPr>
            <w:r w:rsidRPr="005D70ED">
              <w:t>Überprüfung, dass keine sensiblen Zahlungsdaten an KID übermittelt werden.</w:t>
            </w:r>
          </w:p>
          <w:p w14:paraId="3B0CDF28" w14:textId="77777777" w:rsidR="00CC665E" w:rsidRPr="005D70ED" w:rsidRDefault="00CC665E" w:rsidP="005D70ED">
            <w:pPr>
              <w:pStyle w:val="TabelleText"/>
              <w:spacing w:before="240"/>
            </w:pPr>
            <w:r w:rsidRPr="005D70ED">
              <w:t xml:space="preserve">Analyse von Log-Dateien, ob: </w:t>
            </w:r>
          </w:p>
          <w:p w14:paraId="77D9D42D" w14:textId="77777777" w:rsidR="00CC665E" w:rsidRPr="005D70ED" w:rsidRDefault="00CC665E" w:rsidP="005D70ED">
            <w:pPr>
              <w:pStyle w:val="TabelleText"/>
              <w:spacing w:before="240"/>
            </w:pPr>
            <w:r w:rsidRPr="005D70ED">
              <w:t>- ZAD sofort nach Eingang eines Zahlungsauftrags Statusinformationen erhalten</w:t>
            </w:r>
          </w:p>
          <w:p w14:paraId="7AADA998" w14:textId="77777777" w:rsidR="00CC665E" w:rsidRPr="005D70ED" w:rsidRDefault="00CC665E" w:rsidP="005D70ED">
            <w:pPr>
              <w:pStyle w:val="TabelleText"/>
              <w:spacing w:before="240"/>
            </w:pPr>
            <w:r w:rsidRPr="005D70ED">
              <w:t>- der Yes/No</w:t>
            </w:r>
            <w:r w:rsidRPr="005D70ED">
              <w:noBreakHyphen/>
              <w:t>Check technisch korrekt implementiert ist</w:t>
            </w:r>
          </w:p>
          <w:p w14:paraId="678568CE" w14:textId="77777777" w:rsidR="00CC665E" w:rsidRPr="005D70ED" w:rsidRDefault="00CC665E" w:rsidP="005D70ED">
            <w:pPr>
              <w:pStyle w:val="TabelleText"/>
              <w:spacing w:before="240"/>
            </w:pPr>
            <w:r w:rsidRPr="005D70ED">
              <w:t>Interviews mit IT/Payment-Schnittstellenverantwortlichen</w:t>
            </w:r>
          </w:p>
          <w:p w14:paraId="5740A31A" w14:textId="77777777" w:rsidR="00CC665E" w:rsidRPr="005D70ED" w:rsidRDefault="00CC665E" w:rsidP="005D70ED">
            <w:pPr>
              <w:pStyle w:val="TabelleText"/>
              <w:spacing w:before="240"/>
            </w:pPr>
            <w:r w:rsidRPr="005D70ED">
              <w:t>Unterlagen:</w:t>
            </w:r>
          </w:p>
          <w:p w14:paraId="65BDFE86" w14:textId="77777777" w:rsidR="00CC665E" w:rsidRPr="005D70ED" w:rsidRDefault="00CC665E" w:rsidP="005D70ED">
            <w:pPr>
              <w:pStyle w:val="TabelleText"/>
              <w:spacing w:before="240"/>
            </w:pPr>
            <w:r w:rsidRPr="005D70ED">
              <w:t>- API</w:t>
            </w:r>
            <w:r w:rsidRPr="005D70ED">
              <w:noBreakHyphen/>
              <w:t xml:space="preserve">Spezifikationen </w:t>
            </w:r>
          </w:p>
          <w:p w14:paraId="44DA51F7" w14:textId="77777777" w:rsidR="00CC665E" w:rsidRPr="005D70ED" w:rsidRDefault="00CC665E" w:rsidP="005D70ED">
            <w:pPr>
              <w:pStyle w:val="TabelleText"/>
              <w:spacing w:before="240"/>
            </w:pPr>
            <w:r w:rsidRPr="005D70ED">
              <w:t xml:space="preserve">- Testprotokolle </w:t>
            </w:r>
          </w:p>
          <w:p w14:paraId="15363165" w14:textId="633249D1" w:rsidR="00CC665E" w:rsidRPr="005D70ED" w:rsidRDefault="00CC665E" w:rsidP="005D70ED">
            <w:pPr>
              <w:pStyle w:val="TabelleText"/>
              <w:spacing w:before="240"/>
              <w:rPr>
                <w:color w:val="000000" w:themeColor="text1"/>
              </w:rPr>
            </w:pPr>
            <w:r w:rsidRPr="005D70ED">
              <w:t>- Live- oder Dummy</w:t>
            </w:r>
            <w:r w:rsidRPr="005D70ED">
              <w:noBreakHyphen/>
              <w:t>Datenabruf (Testumgebung)</w:t>
            </w:r>
          </w:p>
        </w:tc>
        <w:tc>
          <w:tcPr>
            <w:tcW w:w="983" w:type="pct"/>
            <w:tcBorders>
              <w:top w:val="single" w:sz="2" w:space="0" w:color="272727"/>
              <w:left w:val="single" w:sz="48" w:space="0" w:color="FFFFFF" w:themeColor="background1"/>
              <w:bottom w:val="single" w:sz="2" w:space="0" w:color="272727"/>
              <w:right w:val="nil"/>
            </w:tcBorders>
          </w:tcPr>
          <w:p w14:paraId="5B11B67F" w14:textId="1B46D09D" w:rsidR="00CC665E" w:rsidRPr="005D70ED" w:rsidRDefault="00CC665E" w:rsidP="005D70ED">
            <w:pPr>
              <w:pStyle w:val="TabelleText"/>
              <w:spacing w:before="240"/>
              <w:rPr>
                <w:color w:val="000000" w:themeColor="text1"/>
              </w:rPr>
            </w:pPr>
            <w:r w:rsidRPr="005D70ED">
              <w:lastRenderedPageBreak/>
              <w:t>Welche Prüfungshandlungen des Dienstleisters wurden zum Datenaustausch durchgeführt?</w:t>
            </w:r>
          </w:p>
        </w:tc>
      </w:tr>
      <w:tr w:rsidR="005D70ED" w:rsidRPr="00201374" w14:paraId="71958FD6"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5A570F70" w14:textId="56AEA2F9" w:rsidR="00CC665E" w:rsidRPr="005D70ED" w:rsidRDefault="005D70ED" w:rsidP="00254198">
            <w:pPr>
              <w:pStyle w:val="TabelleText"/>
            </w:pPr>
            <w:r w:rsidRPr="005D70ED">
              <w:t>(2)</w:t>
            </w:r>
          </w:p>
        </w:tc>
        <w:tc>
          <w:tcPr>
            <w:tcW w:w="1530" w:type="pct"/>
            <w:tcBorders>
              <w:top w:val="single" w:sz="2" w:space="0" w:color="272727"/>
              <w:left w:val="nil"/>
              <w:bottom w:val="single" w:sz="2" w:space="0" w:color="272727"/>
              <w:right w:val="single" w:sz="48" w:space="0" w:color="FFFFFF" w:themeColor="background1"/>
            </w:tcBorders>
          </w:tcPr>
          <w:p w14:paraId="795F8F4B" w14:textId="5FB16D68" w:rsidR="00CC665E" w:rsidRPr="005D70ED" w:rsidRDefault="00CC665E" w:rsidP="005D70ED">
            <w:pPr>
              <w:pStyle w:val="TabelleText"/>
            </w:pPr>
            <w:r w:rsidRPr="005D70ED">
              <w:t xml:space="preserve">Tritt während der Identifizierung, der Authentifizierung oder des Austauschs von Datenelementen ein unvorhergesehenes Ereignis oder ein unvorhergesehener Fehler auf, sendet der kontoführende </w:t>
            </w:r>
            <w:r w:rsidRPr="005D70ED">
              <w:lastRenderedPageBreak/>
              <w:t xml:space="preserve">Zahlungsdienstleister dem Zahlungsauslösedienstleister oder dem Kontoinformationsdienstleister und dem Zahlungsdienstleister, der kartengebundene Zahlungsinstrumente ausstellt, eine Benachrichtigung, in der der Grund für das unvorhergesehene Ereignis oder den unvorhergesehenen Fehler erläutert wird. Wenn der kontoführende Zahlungsdienstleister eine dedizierte Schnittstelle nach Art. 32 bereitstellt, muss die Schnittstelle so gestaltet sein, dass jeder Zahlungsdienstleister, der ein unvorhergesehenes Ereignis oder einen unvorhergesehenen Fehler erkennt, entsprechende Benachrichtigungen an die anderen an der Kommunikationssitzung beteiligten Zahlungsdienstleister senden kann. </w:t>
            </w:r>
          </w:p>
        </w:tc>
        <w:tc>
          <w:tcPr>
            <w:tcW w:w="1360" w:type="pct"/>
            <w:tcBorders>
              <w:top w:val="single" w:sz="2" w:space="0" w:color="272727"/>
              <w:left w:val="nil"/>
              <w:bottom w:val="single" w:sz="2" w:space="0" w:color="272727"/>
              <w:right w:val="single" w:sz="48" w:space="0" w:color="FFFFFF" w:themeColor="background1"/>
            </w:tcBorders>
          </w:tcPr>
          <w:p w14:paraId="62091B18" w14:textId="1A26DB22" w:rsidR="00CC665E" w:rsidRPr="005D70ED" w:rsidRDefault="00CC665E" w:rsidP="005D70ED">
            <w:pPr>
              <w:pStyle w:val="TabelleText"/>
            </w:pPr>
            <w:r w:rsidRPr="005D70ED">
              <w:lastRenderedPageBreak/>
              <w:t>Fehle</w:t>
            </w:r>
            <w:r w:rsidR="005D70ED" w:rsidRPr="005D70ED">
              <w:t>r</w:t>
            </w:r>
            <w:r w:rsidRPr="005D70ED">
              <w:t>- und Störungsmanagement</w:t>
            </w:r>
          </w:p>
        </w:tc>
        <w:tc>
          <w:tcPr>
            <w:tcW w:w="1013" w:type="pct"/>
            <w:tcBorders>
              <w:top w:val="single" w:sz="2" w:space="0" w:color="272727"/>
              <w:left w:val="single" w:sz="48" w:space="0" w:color="FFFFFF" w:themeColor="background1"/>
              <w:bottom w:val="single" w:sz="2" w:space="0" w:color="272727"/>
              <w:right w:val="nil"/>
            </w:tcBorders>
          </w:tcPr>
          <w:p w14:paraId="63A39C4F" w14:textId="0BDF1CB2" w:rsidR="00CC665E" w:rsidRPr="005D70ED" w:rsidRDefault="00CC665E" w:rsidP="00254198">
            <w:pPr>
              <w:pStyle w:val="TabelleText"/>
            </w:pPr>
            <w:r w:rsidRPr="005D70ED">
              <w:t>Einsicht in das Incident</w:t>
            </w:r>
            <w:r w:rsidRPr="005D70ED">
              <w:noBreakHyphen/>
              <w:t>Management-System.</w:t>
            </w:r>
          </w:p>
          <w:p w14:paraId="09DD4926" w14:textId="77777777" w:rsidR="00CC665E" w:rsidRPr="005D70ED" w:rsidRDefault="00CC665E" w:rsidP="00254198">
            <w:pPr>
              <w:pStyle w:val="TabelleText"/>
            </w:pPr>
            <w:r w:rsidRPr="005D70ED">
              <w:lastRenderedPageBreak/>
              <w:t>Auswahl einer Stichprobe von Störfällen mit Blick auf: Authentifizierungsfehler, technische Übertragungsfehler, Interface-Ausfälle.</w:t>
            </w:r>
          </w:p>
          <w:p w14:paraId="418CD0A3" w14:textId="77777777" w:rsidR="00CC665E" w:rsidRPr="005D70ED" w:rsidRDefault="00CC665E" w:rsidP="00254198">
            <w:pPr>
              <w:pStyle w:val="TabelleText"/>
            </w:pPr>
            <w:r w:rsidRPr="005D70ED">
              <w:t>Prüfen, ob ZAD/KID informiert wurden und ob die Meldung Ursache &amp; Auswirkungen enthält.</w:t>
            </w:r>
          </w:p>
          <w:p w14:paraId="1D7103B1" w14:textId="77777777" w:rsidR="00CC665E" w:rsidRPr="005D70ED" w:rsidRDefault="00CC665E" w:rsidP="00254198">
            <w:pPr>
              <w:pStyle w:val="TabelleText"/>
            </w:pPr>
            <w:r w:rsidRPr="005D70ED">
              <w:t>Überprüfung, ob die API-Fehlermeldungen von Drittanbietern weiterleiten kann (technische Funktionalität).</w:t>
            </w:r>
          </w:p>
          <w:p w14:paraId="165F621F" w14:textId="77777777" w:rsidR="00CC665E" w:rsidRPr="005D70ED" w:rsidRDefault="00CC665E" w:rsidP="00254198">
            <w:pPr>
              <w:pStyle w:val="TabelleText"/>
            </w:pPr>
            <w:r w:rsidRPr="005D70ED">
              <w:t>Unterlagen:</w:t>
            </w:r>
          </w:p>
          <w:p w14:paraId="6443F908" w14:textId="77777777" w:rsidR="00CC665E" w:rsidRPr="005D70ED" w:rsidRDefault="00CC665E" w:rsidP="00254198">
            <w:pPr>
              <w:pStyle w:val="TabelleText"/>
            </w:pPr>
            <w:r w:rsidRPr="005D70ED">
              <w:t>- Incident-Reports</w:t>
            </w:r>
          </w:p>
          <w:p w14:paraId="1EB58379" w14:textId="77777777" w:rsidR="00CC665E" w:rsidRPr="005D70ED" w:rsidRDefault="00CC665E" w:rsidP="00254198">
            <w:pPr>
              <w:pStyle w:val="TabelleText"/>
            </w:pPr>
            <w:r w:rsidRPr="005D70ED">
              <w:t>- Kommunikationsprotokolle</w:t>
            </w:r>
          </w:p>
          <w:p w14:paraId="12614276" w14:textId="095C99DB" w:rsidR="00CC665E" w:rsidRPr="005D70ED" w:rsidRDefault="00CC665E" w:rsidP="005D70ED">
            <w:pPr>
              <w:pStyle w:val="TabelleText"/>
              <w:rPr>
                <w:color w:val="000000" w:themeColor="text1"/>
              </w:rPr>
            </w:pPr>
            <w:r w:rsidRPr="005D70ED">
              <w:t>- SLAs</w:t>
            </w:r>
          </w:p>
        </w:tc>
        <w:tc>
          <w:tcPr>
            <w:tcW w:w="983" w:type="pct"/>
            <w:tcBorders>
              <w:top w:val="single" w:sz="2" w:space="0" w:color="272727"/>
              <w:left w:val="single" w:sz="48" w:space="0" w:color="FFFFFF" w:themeColor="background1"/>
              <w:bottom w:val="single" w:sz="2" w:space="0" w:color="272727"/>
              <w:right w:val="nil"/>
            </w:tcBorders>
          </w:tcPr>
          <w:p w14:paraId="383F5B12" w14:textId="77777777" w:rsidR="00CC665E" w:rsidRPr="005D70ED" w:rsidRDefault="00CC665E" w:rsidP="00254198">
            <w:pPr>
              <w:pStyle w:val="TabelleText"/>
              <w:rPr>
                <w:color w:val="000000" w:themeColor="text1"/>
              </w:rPr>
            </w:pPr>
          </w:p>
        </w:tc>
      </w:tr>
      <w:tr w:rsidR="005D70ED" w:rsidRPr="00201374" w14:paraId="45EB4FB7"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415BA256" w14:textId="66698C11" w:rsidR="00CC665E" w:rsidRPr="005D70ED" w:rsidRDefault="005D70ED" w:rsidP="005D70ED">
            <w:pPr>
              <w:pStyle w:val="TabelleText"/>
              <w:spacing w:before="240"/>
              <w:rPr>
                <w:b/>
                <w:bCs/>
              </w:rPr>
            </w:pPr>
            <w:r w:rsidRPr="005D70ED">
              <w:rPr>
                <w:b/>
                <w:bCs/>
              </w:rPr>
              <w:t>(3)</w:t>
            </w:r>
          </w:p>
        </w:tc>
        <w:tc>
          <w:tcPr>
            <w:tcW w:w="1530" w:type="pct"/>
            <w:tcBorders>
              <w:top w:val="single" w:sz="2" w:space="0" w:color="272727"/>
              <w:left w:val="nil"/>
              <w:bottom w:val="single" w:sz="2" w:space="0" w:color="272727"/>
              <w:right w:val="single" w:sz="48" w:space="0" w:color="FFFFFF" w:themeColor="background1"/>
            </w:tcBorders>
          </w:tcPr>
          <w:p w14:paraId="126789F5" w14:textId="255166E4" w:rsidR="00CC665E" w:rsidRPr="005D70ED" w:rsidRDefault="00CC665E" w:rsidP="005D70ED">
            <w:pPr>
              <w:pStyle w:val="TabelleText"/>
              <w:spacing w:before="240"/>
              <w:rPr>
                <w:b/>
                <w:bCs/>
              </w:rPr>
            </w:pPr>
            <w:r w:rsidRPr="005D70ED">
              <w:t>Kontoführende Zahlungsdienstleister verfügen über geeignete und wirksame Mechanismen, damit der Zugriff auf andere Informationen als die von bezeichneten Zahlungskonten und damit in Zusammenhang stehenden Zahlungsvorgängen gemäß der ausdrücklichen Zustimmung des Nutzers verhindert wird.</w:t>
            </w:r>
          </w:p>
        </w:tc>
        <w:tc>
          <w:tcPr>
            <w:tcW w:w="1360" w:type="pct"/>
            <w:tcBorders>
              <w:top w:val="single" w:sz="2" w:space="0" w:color="272727"/>
              <w:left w:val="nil"/>
              <w:bottom w:val="single" w:sz="2" w:space="0" w:color="272727"/>
              <w:right w:val="single" w:sz="48" w:space="0" w:color="FFFFFF" w:themeColor="background1"/>
            </w:tcBorders>
          </w:tcPr>
          <w:p w14:paraId="292440B7" w14:textId="5F71A199" w:rsidR="00CC665E" w:rsidRPr="005D70ED" w:rsidRDefault="00CC665E" w:rsidP="005D70ED">
            <w:pPr>
              <w:pStyle w:val="TabelleText"/>
              <w:spacing w:before="240"/>
              <w:rPr>
                <w:b/>
                <w:bCs/>
              </w:rPr>
            </w:pPr>
            <w:r w:rsidRPr="005D70ED">
              <w:t>Mechanismen zum Schutz nicht autorisierter Datenzugriffe.</w:t>
            </w:r>
          </w:p>
        </w:tc>
        <w:tc>
          <w:tcPr>
            <w:tcW w:w="1013" w:type="pct"/>
            <w:tcBorders>
              <w:top w:val="single" w:sz="2" w:space="0" w:color="272727"/>
              <w:left w:val="single" w:sz="48" w:space="0" w:color="FFFFFF" w:themeColor="background1"/>
              <w:bottom w:val="single" w:sz="2" w:space="0" w:color="272727"/>
              <w:right w:val="nil"/>
            </w:tcBorders>
          </w:tcPr>
          <w:p w14:paraId="16C5EFB6" w14:textId="14A029D6" w:rsidR="00CC665E" w:rsidRPr="005D70ED" w:rsidRDefault="00CC665E" w:rsidP="005D70ED">
            <w:pPr>
              <w:pStyle w:val="TabelleText"/>
              <w:spacing w:before="240"/>
              <w:rPr>
                <w:lang w:val="en-US"/>
              </w:rPr>
            </w:pPr>
            <w:r w:rsidRPr="005D70ED">
              <w:rPr>
                <w:lang w:val="en-US"/>
              </w:rPr>
              <w:t>Analyse der Consent- Management</w:t>
            </w:r>
            <w:r w:rsidRPr="005D70ED">
              <w:rPr>
                <w:lang w:val="en-US"/>
              </w:rPr>
              <w:noBreakHyphen/>
              <w:t xml:space="preserve"> Systeme (z. B. Open Authorisation</w:t>
            </w:r>
            <w:r w:rsidRPr="005D70ED">
              <w:rPr>
                <w:lang w:val="en-US"/>
              </w:rPr>
              <w:noBreakHyphen/>
              <w:t>Flows).</w:t>
            </w:r>
          </w:p>
          <w:p w14:paraId="3F96C58F" w14:textId="77777777" w:rsidR="00CC665E" w:rsidRPr="005D70ED" w:rsidRDefault="00CC665E" w:rsidP="005D70ED">
            <w:pPr>
              <w:pStyle w:val="TabelleText"/>
              <w:spacing w:before="240"/>
            </w:pPr>
            <w:r w:rsidRPr="005D70ED">
              <w:t xml:space="preserve">Prüfung der Implementierung: </w:t>
            </w:r>
          </w:p>
          <w:p w14:paraId="1625CC34" w14:textId="77777777" w:rsidR="00CC665E" w:rsidRPr="005D70ED" w:rsidRDefault="00CC665E" w:rsidP="005D70ED">
            <w:pPr>
              <w:pStyle w:val="TabelleText"/>
              <w:spacing w:before="240"/>
            </w:pPr>
            <w:r w:rsidRPr="005D70ED">
              <w:t>- Welche Datenfelder werden bei Zustimmung freigegeben?</w:t>
            </w:r>
          </w:p>
          <w:p w14:paraId="7D1967D7" w14:textId="77777777" w:rsidR="00CC665E" w:rsidRPr="005D70ED" w:rsidRDefault="00CC665E" w:rsidP="005D70ED">
            <w:pPr>
              <w:pStyle w:val="TabelleText"/>
              <w:spacing w:before="240"/>
            </w:pPr>
            <w:r w:rsidRPr="005D70ED">
              <w:lastRenderedPageBreak/>
              <w:t>- Wie wird verhindert, dass darüber hinaus gehende Daten abgefragt werden?</w:t>
            </w:r>
          </w:p>
          <w:p w14:paraId="04263BA0" w14:textId="77777777" w:rsidR="00CC665E" w:rsidRPr="005D70ED" w:rsidRDefault="00CC665E" w:rsidP="005D70ED">
            <w:pPr>
              <w:pStyle w:val="TabelleText"/>
              <w:spacing w:before="240"/>
            </w:pPr>
            <w:r w:rsidRPr="005D70ED">
              <w:t>- Test eines anonymisierten Abrufs, ob die Schnittstelle tatsächlich nur vereinbarte Daten liefert</w:t>
            </w:r>
          </w:p>
          <w:p w14:paraId="68FD3A05" w14:textId="77777777" w:rsidR="00CC665E" w:rsidRPr="005D70ED" w:rsidRDefault="00CC665E" w:rsidP="005D70ED">
            <w:pPr>
              <w:pStyle w:val="TabelleText"/>
              <w:spacing w:before="240"/>
            </w:pPr>
            <w:r w:rsidRPr="005D70ED">
              <w:t>Unterlagen:</w:t>
            </w:r>
          </w:p>
          <w:p w14:paraId="55A7D0E5" w14:textId="77777777" w:rsidR="00CC665E" w:rsidRPr="005D70ED" w:rsidRDefault="00CC665E" w:rsidP="005D70ED">
            <w:pPr>
              <w:pStyle w:val="TabelleText"/>
              <w:spacing w:before="240"/>
            </w:pPr>
            <w:r w:rsidRPr="005D70ED">
              <w:t>- Berechtigungskonzept</w:t>
            </w:r>
          </w:p>
          <w:p w14:paraId="2205BD6E" w14:textId="670FC4C3" w:rsidR="00CC665E" w:rsidRPr="005D70ED" w:rsidRDefault="00CC665E" w:rsidP="005D70ED">
            <w:pPr>
              <w:pStyle w:val="TabelleText"/>
              <w:spacing w:before="240"/>
            </w:pPr>
            <w:r w:rsidRPr="005D70ED">
              <w:t>- technische White</w:t>
            </w:r>
            <w:r w:rsidRPr="005D70ED">
              <w:noBreakHyphen/>
              <w:t>List/Rolle/Zugriffsregeln</w:t>
            </w:r>
          </w:p>
          <w:p w14:paraId="6ED3759C" w14:textId="3EE4F96B" w:rsidR="00CC665E" w:rsidRPr="005D70ED" w:rsidRDefault="00CC665E" w:rsidP="005D70ED">
            <w:pPr>
              <w:pStyle w:val="TabelleText"/>
              <w:spacing w:before="240"/>
              <w:rPr>
                <w:b/>
                <w:bCs/>
                <w:color w:val="000000" w:themeColor="text1"/>
              </w:rPr>
            </w:pPr>
            <w:r w:rsidRPr="005D70ED">
              <w:t>- Testprotokolle</w:t>
            </w:r>
          </w:p>
        </w:tc>
        <w:tc>
          <w:tcPr>
            <w:tcW w:w="983" w:type="pct"/>
            <w:tcBorders>
              <w:top w:val="single" w:sz="2" w:space="0" w:color="272727"/>
              <w:left w:val="single" w:sz="48" w:space="0" w:color="FFFFFF" w:themeColor="background1"/>
              <w:bottom w:val="single" w:sz="2" w:space="0" w:color="272727"/>
              <w:right w:val="nil"/>
            </w:tcBorders>
          </w:tcPr>
          <w:p w14:paraId="4153C64D" w14:textId="77777777" w:rsidR="00CC665E" w:rsidRPr="005D70ED" w:rsidRDefault="00CC665E" w:rsidP="005D70ED">
            <w:pPr>
              <w:pStyle w:val="TabelleText"/>
              <w:spacing w:before="240"/>
              <w:rPr>
                <w:b/>
                <w:bCs/>
                <w:color w:val="000000" w:themeColor="text1"/>
              </w:rPr>
            </w:pPr>
          </w:p>
        </w:tc>
      </w:tr>
      <w:tr w:rsidR="005D70ED" w:rsidRPr="00201374" w14:paraId="3FB3F88A"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1857B115" w14:textId="16B79C9C" w:rsidR="00CC665E" w:rsidRPr="005D70ED" w:rsidRDefault="005D70ED" w:rsidP="005D70ED">
            <w:pPr>
              <w:pStyle w:val="TabelleText"/>
              <w:spacing w:before="240"/>
              <w:rPr>
                <w:b/>
                <w:bCs/>
              </w:rPr>
            </w:pPr>
            <w:r w:rsidRPr="005D70ED">
              <w:rPr>
                <w:b/>
                <w:bCs/>
              </w:rPr>
              <w:t>(4)</w:t>
            </w:r>
          </w:p>
        </w:tc>
        <w:tc>
          <w:tcPr>
            <w:tcW w:w="1530" w:type="pct"/>
            <w:tcBorders>
              <w:top w:val="single" w:sz="2" w:space="0" w:color="272727"/>
              <w:left w:val="nil"/>
              <w:bottom w:val="single" w:sz="2" w:space="0" w:color="272727"/>
              <w:right w:val="single" w:sz="48" w:space="0" w:color="FFFFFF" w:themeColor="background1"/>
            </w:tcBorders>
          </w:tcPr>
          <w:p w14:paraId="56C2968A" w14:textId="08B2A877" w:rsidR="00CC665E" w:rsidRPr="005D70ED" w:rsidRDefault="00CC665E" w:rsidP="005D70ED">
            <w:pPr>
              <w:pStyle w:val="TabelleText"/>
              <w:spacing w:before="240"/>
              <w:rPr>
                <w:b/>
                <w:bCs/>
              </w:rPr>
            </w:pPr>
            <w:r w:rsidRPr="005D70ED">
              <w:t xml:space="preserve">Zahlungsauslösedienstleister stellen den kontoführenden Zahlungsdienstleistern dieselben Informationen bereit, die vom Zahlungsdienstnutzer beim direkten Auslösen des Zahlungsvorgangs angefordert werden. </w:t>
            </w:r>
          </w:p>
        </w:tc>
        <w:tc>
          <w:tcPr>
            <w:tcW w:w="1360" w:type="pct"/>
            <w:tcBorders>
              <w:top w:val="single" w:sz="2" w:space="0" w:color="272727"/>
              <w:left w:val="nil"/>
              <w:bottom w:val="single" w:sz="2" w:space="0" w:color="272727"/>
              <w:right w:val="single" w:sz="48" w:space="0" w:color="FFFFFF" w:themeColor="background1"/>
            </w:tcBorders>
          </w:tcPr>
          <w:p w14:paraId="02161DA7" w14:textId="6BECF21F" w:rsidR="00CC665E" w:rsidRPr="005D70ED" w:rsidRDefault="00CC665E" w:rsidP="005D70ED">
            <w:pPr>
              <w:pStyle w:val="TabelleText"/>
              <w:spacing w:before="240"/>
              <w:rPr>
                <w:b/>
                <w:bCs/>
              </w:rPr>
            </w:pPr>
            <w:r w:rsidRPr="005D70ED">
              <w:t>Anforderungen an Zahlungsauslösedienstleister.</w:t>
            </w:r>
          </w:p>
        </w:tc>
        <w:tc>
          <w:tcPr>
            <w:tcW w:w="1013" w:type="pct"/>
            <w:tcBorders>
              <w:top w:val="single" w:sz="2" w:space="0" w:color="272727"/>
              <w:left w:val="single" w:sz="48" w:space="0" w:color="FFFFFF" w:themeColor="background1"/>
              <w:bottom w:val="single" w:sz="2" w:space="0" w:color="272727"/>
              <w:right w:val="nil"/>
            </w:tcBorders>
          </w:tcPr>
          <w:p w14:paraId="6539C005" w14:textId="77777777" w:rsidR="00CC665E" w:rsidRPr="005D70ED" w:rsidRDefault="00CC665E" w:rsidP="005D70ED">
            <w:pPr>
              <w:pStyle w:val="TabelleText"/>
              <w:spacing w:before="240"/>
            </w:pPr>
            <w:r w:rsidRPr="005D70ED">
              <w:t>Stichprobenhafte Analyse, ob ZAD-Bank-Kommunikation alle für Zahlungsaufträge erforderlichen Daten enthält.</w:t>
            </w:r>
          </w:p>
          <w:p w14:paraId="51740D3C" w14:textId="77777777" w:rsidR="00CC665E" w:rsidRPr="005D70ED" w:rsidRDefault="00CC665E" w:rsidP="005D70ED">
            <w:pPr>
              <w:pStyle w:val="TabelleText"/>
              <w:spacing w:before="240"/>
            </w:pPr>
            <w:r w:rsidRPr="005D70ED">
              <w:t>Prüfung der Validierungsregeln: Werden unvollständige oder unplausible Daten korrekt abgelehnt.</w:t>
            </w:r>
          </w:p>
          <w:p w14:paraId="0841E606" w14:textId="77777777" w:rsidR="00CC665E" w:rsidRPr="005D70ED" w:rsidRDefault="00CC665E" w:rsidP="005D70ED">
            <w:pPr>
              <w:pStyle w:val="TabelleText"/>
              <w:spacing w:before="240"/>
            </w:pPr>
            <w:r w:rsidRPr="005D70ED">
              <w:t>Dokumente:</w:t>
            </w:r>
          </w:p>
          <w:p w14:paraId="63222974" w14:textId="77777777" w:rsidR="00CC665E" w:rsidRPr="005D70ED" w:rsidRDefault="00CC665E" w:rsidP="005D70ED">
            <w:pPr>
              <w:pStyle w:val="TabelleText"/>
              <w:spacing w:before="240"/>
            </w:pPr>
            <w:r w:rsidRPr="005D70ED">
              <w:t>- Logfiles (Testumgebung)</w:t>
            </w:r>
          </w:p>
          <w:p w14:paraId="309D269A" w14:textId="77777777" w:rsidR="00CC665E" w:rsidRPr="005D70ED" w:rsidRDefault="00CC665E" w:rsidP="005D70ED">
            <w:pPr>
              <w:pStyle w:val="TabelleText"/>
              <w:spacing w:before="240"/>
            </w:pPr>
            <w:r w:rsidRPr="005D70ED">
              <w:lastRenderedPageBreak/>
              <w:t>- technische Validierungsregeln</w:t>
            </w:r>
          </w:p>
          <w:p w14:paraId="257C4A44" w14:textId="7C119215" w:rsidR="00CC665E" w:rsidRPr="005D70ED" w:rsidRDefault="00CC665E" w:rsidP="005D70ED">
            <w:pPr>
              <w:pStyle w:val="TabelleText"/>
              <w:spacing w:before="240"/>
              <w:rPr>
                <w:b/>
                <w:bCs/>
                <w:color w:val="000000" w:themeColor="text1"/>
              </w:rPr>
            </w:pPr>
            <w:r w:rsidRPr="005D70ED">
              <w:t>- Prozessbeschreibung</w:t>
            </w:r>
          </w:p>
        </w:tc>
        <w:tc>
          <w:tcPr>
            <w:tcW w:w="983" w:type="pct"/>
            <w:tcBorders>
              <w:top w:val="single" w:sz="2" w:space="0" w:color="272727"/>
              <w:left w:val="single" w:sz="48" w:space="0" w:color="FFFFFF" w:themeColor="background1"/>
              <w:bottom w:val="single" w:sz="2" w:space="0" w:color="272727"/>
              <w:right w:val="nil"/>
            </w:tcBorders>
          </w:tcPr>
          <w:p w14:paraId="2C39C7D5" w14:textId="77777777" w:rsidR="00CC665E" w:rsidRPr="005D70ED" w:rsidRDefault="00CC665E" w:rsidP="005D70ED">
            <w:pPr>
              <w:pStyle w:val="TabelleText"/>
              <w:spacing w:before="240"/>
              <w:rPr>
                <w:b/>
                <w:bCs/>
                <w:color w:val="000000" w:themeColor="text1"/>
              </w:rPr>
            </w:pPr>
          </w:p>
        </w:tc>
      </w:tr>
      <w:tr w:rsidR="005D70ED" w:rsidRPr="00201374" w14:paraId="3ED7D9F2" w14:textId="77777777" w:rsidTr="00CC665E">
        <w:trPr>
          <w:trHeight w:val="63"/>
        </w:trPr>
        <w:tc>
          <w:tcPr>
            <w:tcW w:w="114" w:type="pct"/>
            <w:tcBorders>
              <w:top w:val="single" w:sz="2" w:space="0" w:color="272727"/>
              <w:left w:val="nil"/>
              <w:bottom w:val="single" w:sz="2" w:space="0" w:color="272727"/>
              <w:right w:val="single" w:sz="48" w:space="0" w:color="FFFFFF" w:themeColor="background1"/>
            </w:tcBorders>
          </w:tcPr>
          <w:p w14:paraId="36C006C1" w14:textId="1DADABAD" w:rsidR="00CC665E" w:rsidRPr="00D41CB8" w:rsidRDefault="005D70ED" w:rsidP="00D41CB8">
            <w:pPr>
              <w:pStyle w:val="TabelleText"/>
            </w:pPr>
            <w:r w:rsidRPr="00D41CB8">
              <w:t>(5)</w:t>
            </w:r>
          </w:p>
        </w:tc>
        <w:tc>
          <w:tcPr>
            <w:tcW w:w="1530" w:type="pct"/>
            <w:tcBorders>
              <w:top w:val="single" w:sz="2" w:space="0" w:color="272727"/>
              <w:left w:val="nil"/>
              <w:bottom w:val="single" w:sz="2" w:space="0" w:color="272727"/>
              <w:right w:val="single" w:sz="48" w:space="0" w:color="FFFFFF" w:themeColor="background1"/>
            </w:tcBorders>
          </w:tcPr>
          <w:p w14:paraId="0E839FBB" w14:textId="3AEE5D2C" w:rsidR="00CC665E" w:rsidRPr="00D41CB8" w:rsidRDefault="00CC665E" w:rsidP="00D41CB8">
            <w:pPr>
              <w:pStyle w:val="TabelleText"/>
            </w:pPr>
            <w:r w:rsidRPr="00D41CB8">
              <w:t>Kontoinformationsdienstleister müssen auf Informationen von bezeichneten Zahlungskonten und damit in Zusammenhang stehenden Zahlungsvorgängen, die von kontoführenden Zahlungsdienstleistern zur Bereitstellung des Kontoinformationsdienstes gehalten werden, jeweils unter folgenden Umständen zugreifen können:</w:t>
            </w:r>
          </w:p>
          <w:p w14:paraId="388E4901" w14:textId="65794683" w:rsidR="00CC665E" w:rsidRPr="00D41CB8" w:rsidRDefault="00CC665E" w:rsidP="00D41CB8">
            <w:pPr>
              <w:pStyle w:val="TabelleText"/>
            </w:pPr>
            <w:r w:rsidRPr="00D41CB8">
              <w:t xml:space="preserve">a) wann immer der Zahlungsdienstnutzer diese Informationen aktiv anfordert; </w:t>
            </w:r>
          </w:p>
          <w:p w14:paraId="6113EC4D" w14:textId="7892EE25" w:rsidR="00CC665E" w:rsidRPr="00D41CB8" w:rsidRDefault="00CC665E" w:rsidP="00D41CB8">
            <w:pPr>
              <w:pStyle w:val="TabelleText"/>
            </w:pPr>
            <w:r w:rsidRPr="00D41CB8">
              <w:t>b) sofern der Zahlungsdienstnutzer diese Informationen nicht aktiv anfordert, maximal viermal innerhalb von 24 Stunden, wenn keine höhere Häufigkeit zwischen dem Kontoinformationsdienstleister und dem kontoführenden Zahlungsdienstleister vereinbart wird, mit Zustimmung des Zahlungsdienstnutzers.</w:t>
            </w:r>
          </w:p>
        </w:tc>
        <w:tc>
          <w:tcPr>
            <w:tcW w:w="1360" w:type="pct"/>
            <w:tcBorders>
              <w:top w:val="single" w:sz="2" w:space="0" w:color="272727"/>
              <w:left w:val="nil"/>
              <w:bottom w:val="single" w:sz="2" w:space="0" w:color="272727"/>
              <w:right w:val="single" w:sz="48" w:space="0" w:color="FFFFFF" w:themeColor="background1"/>
            </w:tcBorders>
          </w:tcPr>
          <w:p w14:paraId="545D3D1C" w14:textId="712887CB" w:rsidR="00CC665E" w:rsidRPr="00D41CB8" w:rsidRDefault="00CC665E" w:rsidP="00D41CB8">
            <w:pPr>
              <w:pStyle w:val="TabelleText"/>
            </w:pPr>
            <w:r w:rsidRPr="00D41CB8">
              <w:t>Zugriffshäufigkeit von Kontoinformationsdienstleistern.</w:t>
            </w:r>
          </w:p>
        </w:tc>
        <w:tc>
          <w:tcPr>
            <w:tcW w:w="1013" w:type="pct"/>
            <w:tcBorders>
              <w:top w:val="single" w:sz="2" w:space="0" w:color="272727"/>
              <w:left w:val="single" w:sz="48" w:space="0" w:color="FFFFFF" w:themeColor="background1"/>
              <w:bottom w:val="single" w:sz="2" w:space="0" w:color="272727"/>
              <w:right w:val="nil"/>
            </w:tcBorders>
          </w:tcPr>
          <w:p w14:paraId="38661294" w14:textId="77777777" w:rsidR="00CC665E" w:rsidRPr="00D41CB8" w:rsidRDefault="00CC665E" w:rsidP="00D41CB8">
            <w:pPr>
              <w:pStyle w:val="TabelleText"/>
            </w:pPr>
            <w:r w:rsidRPr="00D41CB8">
              <w:t>Auswertung von API</w:t>
            </w:r>
            <w:r w:rsidRPr="00D41CB8">
              <w:noBreakHyphen/>
              <w:t>Monitoring</w:t>
            </w:r>
            <w:r w:rsidRPr="00D41CB8">
              <w:noBreakHyphen/>
              <w:t>Berichten: Werden max. 4 Abrufe/24h eingehalten?</w:t>
            </w:r>
          </w:p>
          <w:p w14:paraId="3C724C2D" w14:textId="77777777" w:rsidR="00CC665E" w:rsidRPr="00D41CB8" w:rsidRDefault="00CC665E" w:rsidP="00D41CB8">
            <w:pPr>
              <w:pStyle w:val="TabelleText"/>
            </w:pPr>
            <w:r w:rsidRPr="00D41CB8">
              <w:t>Fallanalyse, wenn höhere Frequenzen vorkommen: Liegt eine vereinbarte und kundenautorisierte Abweichung vor?</w:t>
            </w:r>
          </w:p>
          <w:p w14:paraId="67A42FB3" w14:textId="77777777" w:rsidR="00CC665E" w:rsidRPr="00D41CB8" w:rsidRDefault="00CC665E" w:rsidP="00D41CB8">
            <w:pPr>
              <w:pStyle w:val="TabelleText"/>
            </w:pPr>
            <w:r w:rsidRPr="00D41CB8">
              <w:t>Dokumente:</w:t>
            </w:r>
          </w:p>
          <w:p w14:paraId="20C6D4C6" w14:textId="77777777" w:rsidR="00CC665E" w:rsidRPr="00D41CB8" w:rsidRDefault="00CC665E" w:rsidP="00D41CB8">
            <w:pPr>
              <w:pStyle w:val="TabelleText"/>
            </w:pPr>
            <w:r w:rsidRPr="00D41CB8">
              <w:t>- Abrufstatistiken</w:t>
            </w:r>
          </w:p>
          <w:p w14:paraId="06DD753E" w14:textId="77777777" w:rsidR="00CC665E" w:rsidRPr="00D41CB8" w:rsidRDefault="00CC665E" w:rsidP="00D41CB8">
            <w:pPr>
              <w:pStyle w:val="TabelleText"/>
            </w:pPr>
            <w:r w:rsidRPr="00D41CB8">
              <w:t>- Einwilligungsdokumente des Kunden</w:t>
            </w:r>
          </w:p>
          <w:p w14:paraId="17FE2DAC" w14:textId="597ED119" w:rsidR="00CC665E" w:rsidRPr="00D41CB8" w:rsidRDefault="00CC665E" w:rsidP="00D41CB8">
            <w:pPr>
              <w:pStyle w:val="TabelleText"/>
            </w:pPr>
            <w:r w:rsidRPr="00D41CB8">
              <w:t>- Vereinbarungen mit KIDs</w:t>
            </w:r>
          </w:p>
        </w:tc>
        <w:tc>
          <w:tcPr>
            <w:tcW w:w="983" w:type="pct"/>
            <w:tcBorders>
              <w:top w:val="single" w:sz="2" w:space="0" w:color="272727"/>
              <w:left w:val="single" w:sz="48" w:space="0" w:color="FFFFFF" w:themeColor="background1"/>
              <w:bottom w:val="single" w:sz="2" w:space="0" w:color="272727"/>
              <w:right w:val="nil"/>
            </w:tcBorders>
          </w:tcPr>
          <w:p w14:paraId="0D2AD270" w14:textId="77777777" w:rsidR="00CC665E" w:rsidRPr="00D41CB8" w:rsidRDefault="00CC665E" w:rsidP="00D41CB8">
            <w:pPr>
              <w:pStyle w:val="TabelleText"/>
            </w:pPr>
          </w:p>
        </w:tc>
      </w:tr>
    </w:tbl>
    <w:p w14:paraId="37DBC9F6" w14:textId="4D7C4387" w:rsidR="009E1845" w:rsidRPr="005D70ED" w:rsidRDefault="00D41CB8" w:rsidP="00D41CB8">
      <w:pPr>
        <w:pStyle w:val="berschrift1"/>
      </w:pPr>
      <w:bookmarkStart w:id="21" w:name="_Toc240029085"/>
      <w:bookmarkStart w:id="22" w:name="_Toc240360286"/>
      <w:bookmarkEnd w:id="10"/>
      <w:bookmarkEnd w:id="11"/>
      <w:bookmarkEnd w:id="12"/>
      <w:bookmarkEnd w:id="13"/>
      <w:bookmarkEnd w:id="14"/>
      <w:bookmarkEnd w:id="15"/>
      <w:bookmarkEnd w:id="16"/>
      <w:r>
        <w:lastRenderedPageBreak/>
        <w:t>Abkürzungsverzeichnis</w:t>
      </w:r>
      <w:bookmarkEnd w:id="21"/>
      <w:bookmarkEnd w:id="22"/>
    </w:p>
    <w:tbl>
      <w:tblPr>
        <w:tblStyle w:val="Tabellenraster"/>
        <w:tblW w:w="5000" w:type="pct"/>
        <w:tblCellMar>
          <w:left w:w="0" w:type="dxa"/>
          <w:right w:w="0" w:type="dxa"/>
        </w:tblCellMar>
        <w:tblLook w:val="0620" w:firstRow="1" w:lastRow="0" w:firstColumn="0" w:lastColumn="0" w:noHBand="1" w:noVBand="1"/>
      </w:tblPr>
      <w:tblGrid>
        <w:gridCol w:w="6707"/>
        <w:gridCol w:w="6708"/>
      </w:tblGrid>
      <w:tr w:rsidR="009E1845" w:rsidRPr="00201374" w14:paraId="54AB98FF" w14:textId="77777777" w:rsidTr="005D70ED">
        <w:trPr>
          <w:trHeight w:val="151"/>
          <w:tblHeader/>
        </w:trPr>
        <w:tc>
          <w:tcPr>
            <w:tcW w:w="2500" w:type="pct"/>
            <w:tcBorders>
              <w:top w:val="single" w:sz="8" w:space="0" w:color="272727"/>
              <w:left w:val="nil"/>
              <w:bottom w:val="single" w:sz="4" w:space="0" w:color="272727"/>
              <w:right w:val="single" w:sz="48" w:space="0" w:color="FFFFFF" w:themeColor="background1"/>
            </w:tcBorders>
          </w:tcPr>
          <w:p w14:paraId="07CC5427" w14:textId="3BFD70E6" w:rsidR="009E1845" w:rsidRPr="00201374" w:rsidRDefault="005D70ED" w:rsidP="009E1845">
            <w:pPr>
              <w:pStyle w:val="Tabelleberschrift2"/>
              <w:rPr>
                <w:rFonts w:cs="Arial"/>
              </w:rPr>
            </w:pPr>
            <w:r>
              <w:rPr>
                <w:rFonts w:cs="Arial"/>
              </w:rPr>
              <w:t>Abkürzung</w:t>
            </w:r>
          </w:p>
        </w:tc>
        <w:tc>
          <w:tcPr>
            <w:tcW w:w="2500" w:type="pct"/>
            <w:tcBorders>
              <w:top w:val="single" w:sz="8" w:space="0" w:color="272727"/>
              <w:left w:val="single" w:sz="48" w:space="0" w:color="FFFFFF" w:themeColor="background1"/>
              <w:bottom w:val="single" w:sz="4" w:space="0" w:color="272727"/>
              <w:right w:val="nil"/>
            </w:tcBorders>
          </w:tcPr>
          <w:p w14:paraId="44C5005C" w14:textId="12226D68" w:rsidR="009E1845" w:rsidRPr="00201374" w:rsidRDefault="005D70ED" w:rsidP="009E1845">
            <w:pPr>
              <w:pStyle w:val="Tabelleberschrift2"/>
              <w:rPr>
                <w:rFonts w:cs="Arial"/>
              </w:rPr>
            </w:pPr>
            <w:r>
              <w:rPr>
                <w:rFonts w:cs="Arial"/>
              </w:rPr>
              <w:t>Bedeutung</w:t>
            </w:r>
          </w:p>
        </w:tc>
      </w:tr>
      <w:tr w:rsidR="009E1845" w:rsidRPr="00201374" w14:paraId="0575D822" w14:textId="77777777" w:rsidTr="005D70ED">
        <w:trPr>
          <w:trHeight w:val="309"/>
        </w:trPr>
        <w:tc>
          <w:tcPr>
            <w:tcW w:w="2500" w:type="pct"/>
            <w:tcBorders>
              <w:top w:val="single" w:sz="4" w:space="0" w:color="272727"/>
              <w:left w:val="nil"/>
              <w:bottom w:val="single" w:sz="2" w:space="0" w:color="272727"/>
              <w:right w:val="single" w:sz="48" w:space="0" w:color="FFFFFF" w:themeColor="background1"/>
            </w:tcBorders>
          </w:tcPr>
          <w:p w14:paraId="561944BA" w14:textId="74013F87" w:rsidR="009E1845" w:rsidRPr="00201374" w:rsidRDefault="009E1845" w:rsidP="009E1845">
            <w:pPr>
              <w:pStyle w:val="TabelleText"/>
              <w:rPr>
                <w:rFonts w:cs="Arial"/>
              </w:rPr>
            </w:pPr>
            <w:r w:rsidRPr="00201374">
              <w:rPr>
                <w:rFonts w:cs="Arial"/>
              </w:rPr>
              <w:t>Abs.</w:t>
            </w:r>
          </w:p>
        </w:tc>
        <w:tc>
          <w:tcPr>
            <w:tcW w:w="2500" w:type="pct"/>
            <w:tcBorders>
              <w:top w:val="single" w:sz="4" w:space="0" w:color="272727"/>
              <w:left w:val="single" w:sz="48" w:space="0" w:color="FFFFFF" w:themeColor="background1"/>
              <w:bottom w:val="single" w:sz="2" w:space="0" w:color="272727"/>
              <w:right w:val="nil"/>
            </w:tcBorders>
          </w:tcPr>
          <w:p w14:paraId="226E8876" w14:textId="6EEF19BF" w:rsidR="009E1845" w:rsidRPr="00201374" w:rsidRDefault="009E1845" w:rsidP="009E1845">
            <w:pPr>
              <w:pStyle w:val="TabelleText"/>
              <w:rPr>
                <w:rFonts w:cs="Arial"/>
              </w:rPr>
            </w:pPr>
            <w:r w:rsidRPr="00201374">
              <w:rPr>
                <w:rFonts w:cs="Arial"/>
              </w:rPr>
              <w:t>Absatz</w:t>
            </w:r>
          </w:p>
        </w:tc>
      </w:tr>
      <w:tr w:rsidR="009E1845" w:rsidRPr="00201374" w14:paraId="3CF094A1" w14:textId="77777777" w:rsidTr="005D70ED">
        <w:trPr>
          <w:trHeight w:val="173"/>
        </w:trPr>
        <w:tc>
          <w:tcPr>
            <w:tcW w:w="2500" w:type="pct"/>
            <w:tcBorders>
              <w:top w:val="single" w:sz="2" w:space="0" w:color="272727"/>
              <w:left w:val="nil"/>
              <w:bottom w:val="single" w:sz="2" w:space="0" w:color="272727"/>
              <w:right w:val="single" w:sz="48" w:space="0" w:color="FFFFFF" w:themeColor="background1"/>
            </w:tcBorders>
          </w:tcPr>
          <w:p w14:paraId="14F14BD9" w14:textId="65BBB064" w:rsidR="009E1845" w:rsidRPr="00201374" w:rsidRDefault="009E1845" w:rsidP="009E1845">
            <w:pPr>
              <w:pStyle w:val="TabelleText"/>
              <w:rPr>
                <w:rFonts w:cs="Arial"/>
              </w:rPr>
            </w:pPr>
            <w:r w:rsidRPr="00201374">
              <w:rPr>
                <w:rFonts w:cs="Arial"/>
              </w:rPr>
              <w:t>AISP</w:t>
            </w:r>
          </w:p>
        </w:tc>
        <w:tc>
          <w:tcPr>
            <w:tcW w:w="2500" w:type="pct"/>
            <w:tcBorders>
              <w:top w:val="single" w:sz="2" w:space="0" w:color="272727"/>
              <w:left w:val="single" w:sz="48" w:space="0" w:color="FFFFFF" w:themeColor="background1"/>
              <w:bottom w:val="single" w:sz="2" w:space="0" w:color="272727"/>
              <w:right w:val="nil"/>
            </w:tcBorders>
          </w:tcPr>
          <w:p w14:paraId="07F77FDA" w14:textId="6C6ADDD8" w:rsidR="009E1845" w:rsidRPr="00201374" w:rsidRDefault="009E1845" w:rsidP="009E1845">
            <w:pPr>
              <w:pStyle w:val="TabelleText"/>
              <w:rPr>
                <w:rFonts w:cs="Arial"/>
              </w:rPr>
            </w:pPr>
            <w:r w:rsidRPr="00201374">
              <w:rPr>
                <w:rFonts w:cs="Arial"/>
              </w:rPr>
              <w:t>Account Information Service Provider (Kontoinformationsdienstleister)</w:t>
            </w:r>
          </w:p>
        </w:tc>
      </w:tr>
      <w:tr w:rsidR="009E1845" w:rsidRPr="00201374" w14:paraId="1F5D6769" w14:textId="77777777" w:rsidTr="005D70ED">
        <w:trPr>
          <w:trHeight w:val="55"/>
        </w:trPr>
        <w:tc>
          <w:tcPr>
            <w:tcW w:w="2500" w:type="pct"/>
            <w:tcBorders>
              <w:top w:val="single" w:sz="2" w:space="0" w:color="272727"/>
              <w:left w:val="nil"/>
              <w:bottom w:val="single" w:sz="2" w:space="0" w:color="272727"/>
              <w:right w:val="single" w:sz="48" w:space="0" w:color="FFFFFF" w:themeColor="background1"/>
            </w:tcBorders>
          </w:tcPr>
          <w:p w14:paraId="7482B46F" w14:textId="5ACD886D" w:rsidR="009E1845" w:rsidRPr="00201374" w:rsidRDefault="009E1845" w:rsidP="009E1845">
            <w:pPr>
              <w:pStyle w:val="TabelleText"/>
              <w:rPr>
                <w:rFonts w:cs="Arial"/>
              </w:rPr>
            </w:pPr>
            <w:r w:rsidRPr="00201374">
              <w:rPr>
                <w:rFonts w:cs="Arial"/>
              </w:rPr>
              <w:t>API</w:t>
            </w:r>
          </w:p>
        </w:tc>
        <w:tc>
          <w:tcPr>
            <w:tcW w:w="2500" w:type="pct"/>
            <w:tcBorders>
              <w:top w:val="single" w:sz="2" w:space="0" w:color="272727"/>
              <w:left w:val="single" w:sz="48" w:space="0" w:color="FFFFFF" w:themeColor="background1"/>
              <w:bottom w:val="single" w:sz="2" w:space="0" w:color="272727"/>
              <w:right w:val="nil"/>
            </w:tcBorders>
          </w:tcPr>
          <w:p w14:paraId="5550FF42" w14:textId="19F7993D" w:rsidR="009E1845" w:rsidRPr="00201374" w:rsidRDefault="009E1845" w:rsidP="009E1845">
            <w:pPr>
              <w:pStyle w:val="TabelleText"/>
              <w:rPr>
                <w:rFonts w:cs="Arial"/>
              </w:rPr>
            </w:pPr>
            <w:r w:rsidRPr="00201374">
              <w:rPr>
                <w:rFonts w:cs="Arial"/>
              </w:rPr>
              <w:t xml:space="preserve">Application </w:t>
            </w:r>
            <w:r w:rsidRPr="002A5A3F">
              <w:rPr>
                <w:rFonts w:cs="Arial"/>
                <w:lang w:val="en-US"/>
              </w:rPr>
              <w:t>Programming</w:t>
            </w:r>
            <w:r w:rsidRPr="00201374">
              <w:rPr>
                <w:rFonts w:cs="Arial"/>
              </w:rPr>
              <w:t xml:space="preserve"> Interface (Programmierschnittstelle)</w:t>
            </w:r>
          </w:p>
        </w:tc>
      </w:tr>
      <w:tr w:rsidR="009E1845" w:rsidRPr="00201374" w14:paraId="64CEC156"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3536E6E5" w14:textId="4ABE7241" w:rsidR="009E1845" w:rsidRPr="00201374" w:rsidRDefault="009E1845" w:rsidP="009E1845">
            <w:pPr>
              <w:pStyle w:val="TabelleText"/>
              <w:rPr>
                <w:rFonts w:cs="Arial"/>
              </w:rPr>
            </w:pPr>
            <w:r w:rsidRPr="00201374">
              <w:rPr>
                <w:rFonts w:cs="Arial"/>
              </w:rPr>
              <w:t>ASPSP</w:t>
            </w:r>
          </w:p>
        </w:tc>
        <w:tc>
          <w:tcPr>
            <w:tcW w:w="2500" w:type="pct"/>
            <w:tcBorders>
              <w:top w:val="single" w:sz="2" w:space="0" w:color="272727"/>
              <w:left w:val="single" w:sz="48" w:space="0" w:color="FFFFFF" w:themeColor="background1"/>
              <w:bottom w:val="single" w:sz="8" w:space="0" w:color="272727"/>
              <w:right w:val="nil"/>
            </w:tcBorders>
          </w:tcPr>
          <w:p w14:paraId="1644B48A" w14:textId="07321131" w:rsidR="009E1845" w:rsidRPr="00201374" w:rsidRDefault="009E1845" w:rsidP="009E1845">
            <w:pPr>
              <w:pStyle w:val="TabelleText"/>
              <w:rPr>
                <w:rFonts w:cs="Arial"/>
              </w:rPr>
            </w:pPr>
            <w:r w:rsidRPr="00201374">
              <w:rPr>
                <w:rFonts w:cs="Arial"/>
              </w:rPr>
              <w:t xml:space="preserve">Account </w:t>
            </w:r>
            <w:r w:rsidRPr="002A5A3F">
              <w:rPr>
                <w:rFonts w:cs="Arial"/>
                <w:lang w:val="en-US"/>
              </w:rPr>
              <w:t>Servicing</w:t>
            </w:r>
            <w:r w:rsidRPr="00201374">
              <w:rPr>
                <w:rFonts w:cs="Arial"/>
              </w:rPr>
              <w:t xml:space="preserve"> Payment Service Provider (kontoführender Zahlungsdienstleister)</w:t>
            </w:r>
          </w:p>
        </w:tc>
      </w:tr>
      <w:tr w:rsidR="009E1845" w:rsidRPr="00201374" w14:paraId="117F759A"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42B8154F" w14:textId="26CA35A8" w:rsidR="009E1845" w:rsidRPr="00201374" w:rsidRDefault="009E1845" w:rsidP="009E1845">
            <w:pPr>
              <w:pStyle w:val="TabelleText"/>
              <w:rPr>
                <w:rFonts w:cs="Arial"/>
              </w:rPr>
            </w:pPr>
            <w:r w:rsidRPr="00201374">
              <w:rPr>
                <w:rFonts w:cs="Arial"/>
              </w:rPr>
              <w:t>Art.</w:t>
            </w:r>
          </w:p>
        </w:tc>
        <w:tc>
          <w:tcPr>
            <w:tcW w:w="2500" w:type="pct"/>
            <w:tcBorders>
              <w:top w:val="single" w:sz="2" w:space="0" w:color="272727"/>
              <w:left w:val="single" w:sz="48" w:space="0" w:color="FFFFFF" w:themeColor="background1"/>
              <w:bottom w:val="single" w:sz="8" w:space="0" w:color="272727"/>
              <w:right w:val="nil"/>
            </w:tcBorders>
          </w:tcPr>
          <w:p w14:paraId="2B164C72" w14:textId="367931FE" w:rsidR="009E1845" w:rsidRPr="00201374" w:rsidRDefault="009E1845" w:rsidP="009E1845">
            <w:pPr>
              <w:pStyle w:val="TabelleText"/>
              <w:rPr>
                <w:rFonts w:cs="Arial"/>
              </w:rPr>
            </w:pPr>
            <w:r w:rsidRPr="00201374">
              <w:rPr>
                <w:rFonts w:cs="Arial"/>
              </w:rPr>
              <w:t>Artikel</w:t>
            </w:r>
          </w:p>
        </w:tc>
      </w:tr>
      <w:tr w:rsidR="009E1845" w:rsidRPr="00201374" w14:paraId="6D38644E"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34A0384C" w14:textId="627FAD72" w:rsidR="009E1845" w:rsidRPr="00201374" w:rsidRDefault="009E1845" w:rsidP="009E1845">
            <w:pPr>
              <w:pStyle w:val="TabelleText"/>
              <w:rPr>
                <w:rFonts w:cs="Arial"/>
              </w:rPr>
            </w:pPr>
            <w:r w:rsidRPr="00201374">
              <w:rPr>
                <w:rFonts w:cs="Arial"/>
              </w:rPr>
              <w:t>BdB</w:t>
            </w:r>
          </w:p>
        </w:tc>
        <w:tc>
          <w:tcPr>
            <w:tcW w:w="2500" w:type="pct"/>
            <w:tcBorders>
              <w:top w:val="single" w:sz="2" w:space="0" w:color="272727"/>
              <w:left w:val="single" w:sz="48" w:space="0" w:color="FFFFFF" w:themeColor="background1"/>
              <w:bottom w:val="single" w:sz="8" w:space="0" w:color="272727"/>
              <w:right w:val="nil"/>
            </w:tcBorders>
          </w:tcPr>
          <w:p w14:paraId="019C88CA" w14:textId="572DD5E4" w:rsidR="009E1845" w:rsidRPr="00201374" w:rsidRDefault="009E1845" w:rsidP="009E1845">
            <w:pPr>
              <w:pStyle w:val="TabelleText"/>
              <w:rPr>
                <w:rFonts w:cs="Arial"/>
              </w:rPr>
            </w:pPr>
            <w:r w:rsidRPr="00201374">
              <w:rPr>
                <w:rFonts w:cs="Arial"/>
              </w:rPr>
              <w:t>Bundesverband deutscher Banken</w:t>
            </w:r>
          </w:p>
        </w:tc>
      </w:tr>
      <w:tr w:rsidR="009E1845" w:rsidRPr="00201374" w14:paraId="256B1358"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0E058822" w14:textId="14735FC0" w:rsidR="009E1845" w:rsidRPr="00201374" w:rsidRDefault="009E1845" w:rsidP="009E1845">
            <w:pPr>
              <w:pStyle w:val="TabelleText"/>
              <w:rPr>
                <w:rFonts w:cs="Arial"/>
              </w:rPr>
            </w:pPr>
            <w:r w:rsidRPr="00201374">
              <w:rPr>
                <w:rFonts w:cs="Arial"/>
              </w:rPr>
              <w:t>CA</w:t>
            </w:r>
          </w:p>
        </w:tc>
        <w:tc>
          <w:tcPr>
            <w:tcW w:w="2500" w:type="pct"/>
            <w:tcBorders>
              <w:top w:val="single" w:sz="2" w:space="0" w:color="272727"/>
              <w:left w:val="single" w:sz="48" w:space="0" w:color="FFFFFF" w:themeColor="background1"/>
              <w:bottom w:val="single" w:sz="8" w:space="0" w:color="272727"/>
              <w:right w:val="nil"/>
            </w:tcBorders>
          </w:tcPr>
          <w:p w14:paraId="054439D3" w14:textId="292D0D03" w:rsidR="009E1845" w:rsidRPr="00201374" w:rsidRDefault="009E1845" w:rsidP="009E1845">
            <w:pPr>
              <w:pStyle w:val="TabelleText"/>
              <w:rPr>
                <w:rFonts w:cs="Arial"/>
              </w:rPr>
            </w:pPr>
            <w:r w:rsidRPr="00201374">
              <w:rPr>
                <w:rFonts w:cs="Arial"/>
              </w:rPr>
              <w:t xml:space="preserve">Certificate </w:t>
            </w:r>
            <w:r w:rsidRPr="002A5A3F">
              <w:rPr>
                <w:rFonts w:cs="Arial"/>
                <w:lang w:val="en-US"/>
              </w:rPr>
              <w:t>Authorities</w:t>
            </w:r>
          </w:p>
        </w:tc>
      </w:tr>
      <w:tr w:rsidR="009E1845" w:rsidRPr="00201374" w14:paraId="7734202E"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0BD427B8" w14:textId="4058F1C6" w:rsidR="009E1845" w:rsidRPr="00201374" w:rsidRDefault="009E1845" w:rsidP="009E1845">
            <w:pPr>
              <w:pStyle w:val="TabelleText"/>
              <w:rPr>
                <w:rFonts w:cs="Arial"/>
              </w:rPr>
            </w:pPr>
            <w:r w:rsidRPr="00201374">
              <w:rPr>
                <w:rFonts w:cs="Arial"/>
              </w:rPr>
              <w:t>CIT</w:t>
            </w:r>
          </w:p>
        </w:tc>
        <w:tc>
          <w:tcPr>
            <w:tcW w:w="2500" w:type="pct"/>
            <w:tcBorders>
              <w:top w:val="single" w:sz="2" w:space="0" w:color="272727"/>
              <w:left w:val="single" w:sz="48" w:space="0" w:color="FFFFFF" w:themeColor="background1"/>
              <w:bottom w:val="single" w:sz="8" w:space="0" w:color="272727"/>
              <w:right w:val="nil"/>
            </w:tcBorders>
          </w:tcPr>
          <w:p w14:paraId="6504761D" w14:textId="2F400FEC" w:rsidR="009E1845" w:rsidRPr="00201374" w:rsidRDefault="009E1845" w:rsidP="009E1845">
            <w:pPr>
              <w:pStyle w:val="TabelleText"/>
              <w:rPr>
                <w:rFonts w:cs="Arial"/>
              </w:rPr>
            </w:pPr>
            <w:r w:rsidRPr="00201374">
              <w:rPr>
                <w:rFonts w:cs="Arial"/>
              </w:rPr>
              <w:t xml:space="preserve">Customer </w:t>
            </w:r>
            <w:r w:rsidRPr="002A5A3F">
              <w:rPr>
                <w:rFonts w:cs="Arial"/>
                <w:lang w:val="en-US"/>
              </w:rPr>
              <w:t>initiated</w:t>
            </w:r>
            <w:r w:rsidRPr="00201374">
              <w:rPr>
                <w:rFonts w:cs="Arial"/>
              </w:rPr>
              <w:t xml:space="preserve"> transaction</w:t>
            </w:r>
          </w:p>
        </w:tc>
      </w:tr>
      <w:tr w:rsidR="009E1845" w:rsidRPr="00201374" w14:paraId="1936A616"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755D810E" w14:textId="47AFA627" w:rsidR="009E1845" w:rsidRPr="00201374" w:rsidRDefault="009E1845" w:rsidP="009E1845">
            <w:pPr>
              <w:pStyle w:val="TabelleText"/>
              <w:rPr>
                <w:rFonts w:cs="Arial"/>
              </w:rPr>
            </w:pPr>
            <w:r w:rsidRPr="00201374">
              <w:rPr>
                <w:rFonts w:cs="Arial"/>
              </w:rPr>
              <w:t>CRL</w:t>
            </w:r>
          </w:p>
        </w:tc>
        <w:tc>
          <w:tcPr>
            <w:tcW w:w="2500" w:type="pct"/>
            <w:tcBorders>
              <w:top w:val="single" w:sz="2" w:space="0" w:color="272727"/>
              <w:left w:val="single" w:sz="48" w:space="0" w:color="FFFFFF" w:themeColor="background1"/>
              <w:bottom w:val="single" w:sz="8" w:space="0" w:color="272727"/>
              <w:right w:val="nil"/>
            </w:tcBorders>
          </w:tcPr>
          <w:p w14:paraId="1F2CEAC1" w14:textId="388602B5" w:rsidR="009E1845" w:rsidRPr="00201374" w:rsidRDefault="009E1845" w:rsidP="009E1845">
            <w:pPr>
              <w:pStyle w:val="TabelleText"/>
              <w:rPr>
                <w:rFonts w:cs="Arial"/>
              </w:rPr>
            </w:pPr>
            <w:r w:rsidRPr="00201374">
              <w:rPr>
                <w:rFonts w:cs="Arial"/>
              </w:rPr>
              <w:t xml:space="preserve">Certificate </w:t>
            </w:r>
            <w:r w:rsidRPr="002A5A3F">
              <w:rPr>
                <w:rFonts w:cs="Arial"/>
                <w:lang w:val="en-US"/>
              </w:rPr>
              <w:t>Revocation</w:t>
            </w:r>
            <w:r w:rsidRPr="00201374">
              <w:rPr>
                <w:rFonts w:cs="Arial"/>
              </w:rPr>
              <w:t xml:space="preserve"> List</w:t>
            </w:r>
          </w:p>
        </w:tc>
      </w:tr>
      <w:tr w:rsidR="009E1845" w:rsidRPr="00201374" w14:paraId="572A90C2"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4C2F1C17" w14:textId="082299BF" w:rsidR="009E1845" w:rsidRPr="00201374" w:rsidRDefault="009E1845" w:rsidP="009E1845">
            <w:pPr>
              <w:pStyle w:val="TabelleText"/>
              <w:rPr>
                <w:rFonts w:cs="Arial"/>
              </w:rPr>
            </w:pPr>
            <w:r w:rsidRPr="00201374">
              <w:rPr>
                <w:rFonts w:cs="Arial"/>
              </w:rPr>
              <w:t>DMZ</w:t>
            </w:r>
          </w:p>
        </w:tc>
        <w:tc>
          <w:tcPr>
            <w:tcW w:w="2500" w:type="pct"/>
            <w:tcBorders>
              <w:top w:val="single" w:sz="2" w:space="0" w:color="272727"/>
              <w:left w:val="single" w:sz="48" w:space="0" w:color="FFFFFF" w:themeColor="background1"/>
              <w:bottom w:val="single" w:sz="8" w:space="0" w:color="272727"/>
              <w:right w:val="nil"/>
            </w:tcBorders>
          </w:tcPr>
          <w:p w14:paraId="46557306" w14:textId="3270EC82" w:rsidR="009E1845" w:rsidRPr="00201374" w:rsidRDefault="009E1845" w:rsidP="009E1845">
            <w:pPr>
              <w:pStyle w:val="TabelleText"/>
              <w:rPr>
                <w:rFonts w:cs="Arial"/>
              </w:rPr>
            </w:pPr>
            <w:r w:rsidRPr="00201374">
              <w:rPr>
                <w:rFonts w:cs="Arial"/>
              </w:rPr>
              <w:t>Demilitarized Zone</w:t>
            </w:r>
          </w:p>
        </w:tc>
      </w:tr>
      <w:tr w:rsidR="009E1845" w:rsidRPr="00201374" w14:paraId="3C49CC73" w14:textId="77777777" w:rsidTr="005D70ED">
        <w:trPr>
          <w:trHeight w:val="55"/>
        </w:trPr>
        <w:tc>
          <w:tcPr>
            <w:tcW w:w="2500" w:type="pct"/>
            <w:tcBorders>
              <w:top w:val="single" w:sz="2" w:space="0" w:color="272727"/>
              <w:left w:val="nil"/>
              <w:bottom w:val="single" w:sz="2" w:space="0" w:color="272727"/>
              <w:right w:val="single" w:sz="48" w:space="0" w:color="FFFFFF" w:themeColor="background1"/>
            </w:tcBorders>
          </w:tcPr>
          <w:p w14:paraId="521E86F1" w14:textId="312E12F1" w:rsidR="009E1845" w:rsidRPr="00201374" w:rsidRDefault="009E1845" w:rsidP="009E1845">
            <w:pPr>
              <w:pStyle w:val="TabelleText"/>
              <w:rPr>
                <w:rFonts w:cs="Arial"/>
              </w:rPr>
            </w:pPr>
            <w:r w:rsidRPr="00201374">
              <w:rPr>
                <w:rFonts w:cs="Arial"/>
              </w:rPr>
              <w:t>EBA</w:t>
            </w:r>
          </w:p>
        </w:tc>
        <w:tc>
          <w:tcPr>
            <w:tcW w:w="2500" w:type="pct"/>
            <w:tcBorders>
              <w:top w:val="single" w:sz="2" w:space="0" w:color="272727"/>
              <w:left w:val="single" w:sz="48" w:space="0" w:color="FFFFFF" w:themeColor="background1"/>
              <w:bottom w:val="single" w:sz="2" w:space="0" w:color="272727"/>
              <w:right w:val="nil"/>
            </w:tcBorders>
          </w:tcPr>
          <w:p w14:paraId="782B9D98" w14:textId="4F99679D" w:rsidR="009E1845" w:rsidRPr="00201374" w:rsidRDefault="009E1845" w:rsidP="009E1845">
            <w:pPr>
              <w:pStyle w:val="TabelleText"/>
              <w:rPr>
                <w:rFonts w:cs="Arial"/>
              </w:rPr>
            </w:pPr>
            <w:r w:rsidRPr="00201374">
              <w:rPr>
                <w:rFonts w:cs="Arial"/>
              </w:rPr>
              <w:t>European Banking Authority</w:t>
            </w:r>
          </w:p>
        </w:tc>
      </w:tr>
      <w:tr w:rsidR="009E1845" w:rsidRPr="00201374" w14:paraId="1544DE0B"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319D9687" w14:textId="4B28D77D" w:rsidR="009E1845" w:rsidRPr="00201374" w:rsidRDefault="009E1845" w:rsidP="009E1845">
            <w:pPr>
              <w:pStyle w:val="TabelleText"/>
              <w:rPr>
                <w:rFonts w:cs="Arial"/>
              </w:rPr>
            </w:pPr>
            <w:r w:rsidRPr="00201374">
              <w:rPr>
                <w:rFonts w:cs="Arial"/>
              </w:rPr>
              <w:t>eIDAS</w:t>
            </w:r>
          </w:p>
        </w:tc>
        <w:tc>
          <w:tcPr>
            <w:tcW w:w="2500" w:type="pct"/>
            <w:tcBorders>
              <w:top w:val="single" w:sz="2" w:space="0" w:color="272727"/>
              <w:left w:val="single" w:sz="48" w:space="0" w:color="FFFFFF" w:themeColor="background1"/>
              <w:bottom w:val="single" w:sz="8" w:space="0" w:color="272727"/>
              <w:right w:val="nil"/>
            </w:tcBorders>
          </w:tcPr>
          <w:p w14:paraId="05A4906A" w14:textId="78DFAE00" w:rsidR="009E1845" w:rsidRPr="00201374" w:rsidRDefault="009E1845" w:rsidP="009E1845">
            <w:pPr>
              <w:pStyle w:val="TabelleText"/>
              <w:rPr>
                <w:rFonts w:cs="Arial"/>
              </w:rPr>
            </w:pPr>
            <w:r w:rsidRPr="00201374">
              <w:rPr>
                <w:rFonts w:cs="Arial"/>
              </w:rPr>
              <w:t xml:space="preserve">electronic </w:t>
            </w:r>
            <w:r w:rsidRPr="002A5A3F">
              <w:rPr>
                <w:rFonts w:cs="Arial"/>
                <w:lang w:val="en-US"/>
              </w:rPr>
              <w:t>IDentification</w:t>
            </w:r>
            <w:r w:rsidRPr="00201374">
              <w:rPr>
                <w:rFonts w:cs="Arial"/>
              </w:rPr>
              <w:t>, Authentication and trust Services (elektronische Identifizierung, Authentifizierung und Vertrauensdienste)</w:t>
            </w:r>
          </w:p>
        </w:tc>
      </w:tr>
      <w:tr w:rsidR="009E1845" w:rsidRPr="00201374" w14:paraId="278D9F67"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5F27E57C" w14:textId="38231CCD" w:rsidR="009E1845" w:rsidRPr="00201374" w:rsidRDefault="009E1845" w:rsidP="009E1845">
            <w:pPr>
              <w:pStyle w:val="TabelleText"/>
              <w:rPr>
                <w:rFonts w:cs="Arial"/>
              </w:rPr>
            </w:pPr>
            <w:r w:rsidRPr="00201374">
              <w:rPr>
                <w:rFonts w:cs="Arial"/>
              </w:rPr>
              <w:t>HSM</w:t>
            </w:r>
          </w:p>
        </w:tc>
        <w:tc>
          <w:tcPr>
            <w:tcW w:w="2500" w:type="pct"/>
            <w:tcBorders>
              <w:top w:val="single" w:sz="2" w:space="0" w:color="272727"/>
              <w:left w:val="single" w:sz="48" w:space="0" w:color="FFFFFF" w:themeColor="background1"/>
              <w:bottom w:val="single" w:sz="8" w:space="0" w:color="272727"/>
              <w:right w:val="nil"/>
            </w:tcBorders>
          </w:tcPr>
          <w:p w14:paraId="189BAECD" w14:textId="3614C668" w:rsidR="009E1845" w:rsidRPr="00201374" w:rsidRDefault="009E1845" w:rsidP="009E1845">
            <w:pPr>
              <w:pStyle w:val="TabelleText"/>
              <w:rPr>
                <w:rFonts w:cs="Arial"/>
              </w:rPr>
            </w:pPr>
            <w:r w:rsidRPr="00201374">
              <w:rPr>
                <w:rFonts w:cs="Arial"/>
              </w:rPr>
              <w:t>Hardware Security Module</w:t>
            </w:r>
          </w:p>
        </w:tc>
      </w:tr>
      <w:tr w:rsidR="009E1845" w:rsidRPr="00201374" w14:paraId="5428C83B"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20F08CB6" w14:textId="560C46C4" w:rsidR="009E1845" w:rsidRPr="00201374" w:rsidRDefault="009E1845" w:rsidP="009E1845">
            <w:pPr>
              <w:pStyle w:val="TabelleText"/>
              <w:rPr>
                <w:rFonts w:cs="Arial"/>
              </w:rPr>
            </w:pPr>
            <w:r w:rsidRPr="00201374">
              <w:rPr>
                <w:rFonts w:cs="Arial"/>
              </w:rPr>
              <w:t>HSTS</w:t>
            </w:r>
          </w:p>
        </w:tc>
        <w:tc>
          <w:tcPr>
            <w:tcW w:w="2500" w:type="pct"/>
            <w:tcBorders>
              <w:top w:val="single" w:sz="2" w:space="0" w:color="272727"/>
              <w:left w:val="single" w:sz="48" w:space="0" w:color="FFFFFF" w:themeColor="background1"/>
              <w:bottom w:val="single" w:sz="8" w:space="0" w:color="272727"/>
              <w:right w:val="nil"/>
            </w:tcBorders>
          </w:tcPr>
          <w:p w14:paraId="4752F25E" w14:textId="3003B5E1" w:rsidR="009E1845" w:rsidRPr="00201374" w:rsidRDefault="009E1845" w:rsidP="009E1845">
            <w:pPr>
              <w:pStyle w:val="TabelleText"/>
              <w:rPr>
                <w:rFonts w:cs="Arial"/>
              </w:rPr>
            </w:pPr>
            <w:r w:rsidRPr="00201374">
              <w:rPr>
                <w:rFonts w:cs="Arial"/>
              </w:rPr>
              <w:t xml:space="preserve">HTTP </w:t>
            </w:r>
            <w:r w:rsidRPr="002A5A3F">
              <w:rPr>
                <w:rFonts w:cs="Arial"/>
                <w:lang w:val="en-US"/>
              </w:rPr>
              <w:t>Strict</w:t>
            </w:r>
            <w:r w:rsidRPr="00201374">
              <w:rPr>
                <w:rFonts w:cs="Arial"/>
              </w:rPr>
              <w:t xml:space="preserve"> Transport Security</w:t>
            </w:r>
          </w:p>
        </w:tc>
      </w:tr>
      <w:tr w:rsidR="009E1845" w:rsidRPr="00201374" w14:paraId="7143278C"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3145B8A3" w14:textId="19654910" w:rsidR="009E1845" w:rsidRPr="00201374" w:rsidRDefault="009E1845" w:rsidP="009E1845">
            <w:pPr>
              <w:pStyle w:val="TabelleText"/>
              <w:rPr>
                <w:rFonts w:cs="Arial"/>
              </w:rPr>
            </w:pPr>
            <w:r w:rsidRPr="00201374">
              <w:rPr>
                <w:rFonts w:cs="Arial"/>
              </w:rPr>
              <w:lastRenderedPageBreak/>
              <w:t>ISO</w:t>
            </w:r>
          </w:p>
        </w:tc>
        <w:tc>
          <w:tcPr>
            <w:tcW w:w="2500" w:type="pct"/>
            <w:tcBorders>
              <w:top w:val="single" w:sz="2" w:space="0" w:color="272727"/>
              <w:left w:val="single" w:sz="48" w:space="0" w:color="FFFFFF" w:themeColor="background1"/>
              <w:bottom w:val="single" w:sz="8" w:space="0" w:color="272727"/>
              <w:right w:val="nil"/>
            </w:tcBorders>
          </w:tcPr>
          <w:p w14:paraId="5AC922A6" w14:textId="5DB0B9DC" w:rsidR="009E1845" w:rsidRPr="00201374" w:rsidRDefault="009E1845" w:rsidP="009E1845">
            <w:pPr>
              <w:pStyle w:val="TabelleText"/>
              <w:rPr>
                <w:rFonts w:cs="Arial"/>
              </w:rPr>
            </w:pPr>
            <w:r w:rsidRPr="00201374">
              <w:rPr>
                <w:rFonts w:cs="Arial"/>
              </w:rPr>
              <w:t>International Organization for Standardization (Internationale Organisation für Normung),</w:t>
            </w:r>
          </w:p>
        </w:tc>
      </w:tr>
      <w:tr w:rsidR="009E1845" w:rsidRPr="00201374" w14:paraId="452654EB"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7DBE7AF6" w14:textId="5FD71EF6" w:rsidR="009E1845" w:rsidRPr="00201374" w:rsidRDefault="009E1845" w:rsidP="009E1845">
            <w:pPr>
              <w:pStyle w:val="TabelleText"/>
              <w:rPr>
                <w:rFonts w:cs="Arial"/>
              </w:rPr>
            </w:pPr>
            <w:r w:rsidRPr="00201374">
              <w:rPr>
                <w:rFonts w:cs="Arial"/>
              </w:rPr>
              <w:t>IR</w:t>
            </w:r>
          </w:p>
        </w:tc>
        <w:tc>
          <w:tcPr>
            <w:tcW w:w="2500" w:type="pct"/>
            <w:tcBorders>
              <w:top w:val="single" w:sz="2" w:space="0" w:color="272727"/>
              <w:left w:val="single" w:sz="48" w:space="0" w:color="FFFFFF" w:themeColor="background1"/>
              <w:bottom w:val="single" w:sz="8" w:space="0" w:color="272727"/>
              <w:right w:val="nil"/>
            </w:tcBorders>
          </w:tcPr>
          <w:p w14:paraId="0F803963" w14:textId="5ACBAEBD" w:rsidR="009E1845" w:rsidRPr="00201374" w:rsidRDefault="009E1845" w:rsidP="009E1845">
            <w:pPr>
              <w:pStyle w:val="TabelleText"/>
              <w:rPr>
                <w:rFonts w:cs="Arial"/>
              </w:rPr>
            </w:pPr>
            <w:r w:rsidRPr="00201374">
              <w:rPr>
                <w:rFonts w:cs="Arial"/>
              </w:rPr>
              <w:t>Interne Revision</w:t>
            </w:r>
          </w:p>
        </w:tc>
      </w:tr>
      <w:tr w:rsidR="009E1845" w:rsidRPr="00201374" w14:paraId="522AEB96"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36C7F99F" w14:textId="52FB6DAA" w:rsidR="009E1845" w:rsidRPr="00201374" w:rsidRDefault="009E1845" w:rsidP="009E1845">
            <w:pPr>
              <w:pStyle w:val="TabelleText"/>
              <w:rPr>
                <w:rFonts w:cs="Arial"/>
              </w:rPr>
            </w:pPr>
            <w:r w:rsidRPr="00201374">
              <w:rPr>
                <w:rFonts w:cs="Arial"/>
              </w:rPr>
              <w:t>KID</w:t>
            </w:r>
          </w:p>
        </w:tc>
        <w:tc>
          <w:tcPr>
            <w:tcW w:w="2500" w:type="pct"/>
            <w:tcBorders>
              <w:top w:val="single" w:sz="2" w:space="0" w:color="272727"/>
              <w:left w:val="single" w:sz="48" w:space="0" w:color="FFFFFF" w:themeColor="background1"/>
              <w:bottom w:val="single" w:sz="8" w:space="0" w:color="272727"/>
              <w:right w:val="nil"/>
            </w:tcBorders>
          </w:tcPr>
          <w:p w14:paraId="30C00920" w14:textId="12AAE6E8" w:rsidR="009E1845" w:rsidRPr="00201374" w:rsidRDefault="009E1845" w:rsidP="009E1845">
            <w:pPr>
              <w:pStyle w:val="TabelleText"/>
              <w:rPr>
                <w:rFonts w:cs="Arial"/>
              </w:rPr>
            </w:pPr>
            <w:r w:rsidRPr="00201374">
              <w:rPr>
                <w:rFonts w:cs="Arial"/>
              </w:rPr>
              <w:t>Kontoinformationsdienst</w:t>
            </w:r>
          </w:p>
        </w:tc>
      </w:tr>
      <w:tr w:rsidR="009E1845" w:rsidRPr="00201374" w14:paraId="1B477795"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7D8631B5" w14:textId="41690515" w:rsidR="009E1845" w:rsidRPr="00201374" w:rsidRDefault="009E1845" w:rsidP="009E1845">
            <w:pPr>
              <w:pStyle w:val="TabelleText"/>
              <w:rPr>
                <w:rFonts w:cs="Arial"/>
              </w:rPr>
            </w:pPr>
            <w:r w:rsidRPr="00201374">
              <w:rPr>
                <w:rFonts w:cs="Arial"/>
              </w:rPr>
              <w:t>MIT</w:t>
            </w:r>
          </w:p>
        </w:tc>
        <w:tc>
          <w:tcPr>
            <w:tcW w:w="2500" w:type="pct"/>
            <w:tcBorders>
              <w:top w:val="single" w:sz="2" w:space="0" w:color="272727"/>
              <w:left w:val="single" w:sz="48" w:space="0" w:color="FFFFFF" w:themeColor="background1"/>
              <w:bottom w:val="single" w:sz="8" w:space="0" w:color="272727"/>
              <w:right w:val="nil"/>
            </w:tcBorders>
          </w:tcPr>
          <w:p w14:paraId="202DE218" w14:textId="74F4D64F" w:rsidR="009E1845" w:rsidRPr="00201374" w:rsidRDefault="009E1845" w:rsidP="009E1845">
            <w:pPr>
              <w:pStyle w:val="TabelleText"/>
              <w:rPr>
                <w:rFonts w:cs="Arial"/>
              </w:rPr>
            </w:pPr>
            <w:r w:rsidRPr="00201374">
              <w:rPr>
                <w:rFonts w:cs="Arial"/>
              </w:rPr>
              <w:t xml:space="preserve">Merchant </w:t>
            </w:r>
            <w:r w:rsidRPr="002A5A3F">
              <w:rPr>
                <w:rFonts w:cs="Arial"/>
                <w:lang w:val="en-US"/>
              </w:rPr>
              <w:t>initiated</w:t>
            </w:r>
            <w:r w:rsidRPr="00201374">
              <w:rPr>
                <w:rFonts w:cs="Arial"/>
              </w:rPr>
              <w:t xml:space="preserve"> transaction</w:t>
            </w:r>
          </w:p>
        </w:tc>
      </w:tr>
      <w:tr w:rsidR="009E1845" w:rsidRPr="00201374" w14:paraId="0F168E67"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37D1AED5" w14:textId="6FCE932D" w:rsidR="009E1845" w:rsidRPr="00201374" w:rsidRDefault="009E1845" w:rsidP="009E1845">
            <w:pPr>
              <w:pStyle w:val="TabelleText"/>
              <w:rPr>
                <w:rFonts w:cs="Arial"/>
              </w:rPr>
            </w:pPr>
            <w:r w:rsidRPr="00201374">
              <w:rPr>
                <w:rFonts w:cs="Arial"/>
              </w:rPr>
              <w:t>mTLS</w:t>
            </w:r>
          </w:p>
        </w:tc>
        <w:tc>
          <w:tcPr>
            <w:tcW w:w="2500" w:type="pct"/>
            <w:tcBorders>
              <w:top w:val="single" w:sz="2" w:space="0" w:color="272727"/>
              <w:left w:val="single" w:sz="48" w:space="0" w:color="FFFFFF" w:themeColor="background1"/>
              <w:bottom w:val="single" w:sz="8" w:space="0" w:color="272727"/>
              <w:right w:val="nil"/>
            </w:tcBorders>
          </w:tcPr>
          <w:p w14:paraId="022CE33F" w14:textId="62F11690" w:rsidR="009E1845" w:rsidRPr="00201374" w:rsidRDefault="009E1845" w:rsidP="009E1845">
            <w:pPr>
              <w:pStyle w:val="TabelleText"/>
              <w:rPr>
                <w:rFonts w:cs="Arial"/>
              </w:rPr>
            </w:pPr>
            <w:r w:rsidRPr="00201374">
              <w:rPr>
                <w:rFonts w:cs="Arial"/>
              </w:rPr>
              <w:t>mutual Transport Layer Security</w:t>
            </w:r>
          </w:p>
        </w:tc>
      </w:tr>
      <w:tr w:rsidR="009E1845" w:rsidRPr="00201374" w14:paraId="7CF18C92"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68F0D091" w14:textId="55FB7DD5" w:rsidR="009E1845" w:rsidRPr="00201374" w:rsidRDefault="009E1845" w:rsidP="009E1845">
            <w:pPr>
              <w:pStyle w:val="TabelleText"/>
              <w:rPr>
                <w:rFonts w:cs="Arial"/>
              </w:rPr>
            </w:pPr>
            <w:r w:rsidRPr="00201374">
              <w:rPr>
                <w:rFonts w:cs="Arial"/>
              </w:rPr>
              <w:t>NFC</w:t>
            </w:r>
          </w:p>
        </w:tc>
        <w:tc>
          <w:tcPr>
            <w:tcW w:w="2500" w:type="pct"/>
            <w:tcBorders>
              <w:top w:val="single" w:sz="2" w:space="0" w:color="272727"/>
              <w:left w:val="single" w:sz="48" w:space="0" w:color="FFFFFF" w:themeColor="background1"/>
              <w:bottom w:val="single" w:sz="8" w:space="0" w:color="272727"/>
              <w:right w:val="nil"/>
            </w:tcBorders>
          </w:tcPr>
          <w:p w14:paraId="797E4A33" w14:textId="2C174752" w:rsidR="009E1845" w:rsidRPr="00201374" w:rsidRDefault="009E1845" w:rsidP="009E1845">
            <w:pPr>
              <w:pStyle w:val="TabelleText"/>
              <w:rPr>
                <w:rFonts w:cs="Arial"/>
              </w:rPr>
            </w:pPr>
            <w:r w:rsidRPr="00201374">
              <w:rPr>
                <w:rFonts w:cs="Arial"/>
              </w:rPr>
              <w:t>Near Field Communication</w:t>
            </w:r>
          </w:p>
        </w:tc>
      </w:tr>
      <w:tr w:rsidR="009E1845" w:rsidRPr="003342FF" w14:paraId="00DE8250"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05E7CDF3" w14:textId="1417E0B2" w:rsidR="009E1845" w:rsidRPr="00201374" w:rsidRDefault="009E1845" w:rsidP="009E1845">
            <w:pPr>
              <w:pStyle w:val="TabelleText"/>
              <w:rPr>
                <w:rFonts w:cs="Arial"/>
              </w:rPr>
            </w:pPr>
            <w:r w:rsidRPr="00201374">
              <w:rPr>
                <w:rFonts w:cs="Arial"/>
              </w:rPr>
              <w:t>NIST</w:t>
            </w:r>
          </w:p>
        </w:tc>
        <w:tc>
          <w:tcPr>
            <w:tcW w:w="2500" w:type="pct"/>
            <w:tcBorders>
              <w:top w:val="single" w:sz="2" w:space="0" w:color="272727"/>
              <w:left w:val="single" w:sz="48" w:space="0" w:color="FFFFFF" w:themeColor="background1"/>
              <w:bottom w:val="single" w:sz="8" w:space="0" w:color="272727"/>
              <w:right w:val="nil"/>
            </w:tcBorders>
          </w:tcPr>
          <w:p w14:paraId="28D4A584" w14:textId="7313C036" w:rsidR="009E1845" w:rsidRPr="00201374" w:rsidRDefault="009E1845" w:rsidP="009E1845">
            <w:pPr>
              <w:pStyle w:val="TabelleText"/>
              <w:rPr>
                <w:rFonts w:cs="Arial"/>
                <w:lang w:val="en-US"/>
              </w:rPr>
            </w:pPr>
            <w:r w:rsidRPr="00201374">
              <w:rPr>
                <w:rFonts w:cs="Arial"/>
                <w:lang w:val="en-US"/>
              </w:rPr>
              <w:t>National Institute of Standards and Technology</w:t>
            </w:r>
          </w:p>
        </w:tc>
      </w:tr>
      <w:tr w:rsidR="009E1845" w:rsidRPr="00201374" w14:paraId="2386777E"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710AB6AB" w14:textId="57C1D69F" w:rsidR="009E1845" w:rsidRPr="00201374" w:rsidRDefault="009E1845" w:rsidP="009E1845">
            <w:pPr>
              <w:pStyle w:val="TabelleText"/>
              <w:rPr>
                <w:rFonts w:cs="Arial"/>
              </w:rPr>
            </w:pPr>
            <w:r w:rsidRPr="00201374">
              <w:rPr>
                <w:rFonts w:cs="Arial"/>
              </w:rPr>
              <w:t>NTP</w:t>
            </w:r>
          </w:p>
        </w:tc>
        <w:tc>
          <w:tcPr>
            <w:tcW w:w="2500" w:type="pct"/>
            <w:tcBorders>
              <w:top w:val="single" w:sz="2" w:space="0" w:color="272727"/>
              <w:left w:val="single" w:sz="48" w:space="0" w:color="FFFFFF" w:themeColor="background1"/>
              <w:bottom w:val="single" w:sz="8" w:space="0" w:color="272727"/>
              <w:right w:val="nil"/>
            </w:tcBorders>
          </w:tcPr>
          <w:p w14:paraId="430EA2C0" w14:textId="4253671B" w:rsidR="009E1845" w:rsidRPr="00201374" w:rsidRDefault="009E1845" w:rsidP="009E1845">
            <w:pPr>
              <w:pStyle w:val="TabelleText"/>
              <w:rPr>
                <w:rFonts w:cs="Arial"/>
              </w:rPr>
            </w:pPr>
            <w:r w:rsidRPr="00201374">
              <w:rPr>
                <w:rFonts w:cs="Arial"/>
              </w:rPr>
              <w:t>Network Time Protocol</w:t>
            </w:r>
          </w:p>
        </w:tc>
      </w:tr>
      <w:tr w:rsidR="009E1845" w:rsidRPr="00201374" w14:paraId="41B8363A"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7BC18A27" w14:textId="14A74C61" w:rsidR="009E1845" w:rsidRPr="00201374" w:rsidRDefault="009E1845" w:rsidP="009E1845">
            <w:pPr>
              <w:pStyle w:val="TabelleText"/>
              <w:rPr>
                <w:rFonts w:cs="Arial"/>
              </w:rPr>
            </w:pPr>
            <w:r w:rsidRPr="00201374">
              <w:rPr>
                <w:rFonts w:cs="Arial"/>
              </w:rPr>
              <w:t>OpenAuthorisation-Flow</w:t>
            </w:r>
          </w:p>
        </w:tc>
        <w:tc>
          <w:tcPr>
            <w:tcW w:w="2500" w:type="pct"/>
            <w:tcBorders>
              <w:top w:val="single" w:sz="2" w:space="0" w:color="272727"/>
              <w:left w:val="single" w:sz="48" w:space="0" w:color="FFFFFF" w:themeColor="background1"/>
              <w:bottom w:val="single" w:sz="8" w:space="0" w:color="272727"/>
              <w:right w:val="nil"/>
            </w:tcBorders>
          </w:tcPr>
          <w:p w14:paraId="4ADE0024" w14:textId="33378223" w:rsidR="009E1845" w:rsidRPr="00201374" w:rsidRDefault="009E1845" w:rsidP="009E1845">
            <w:pPr>
              <w:pStyle w:val="TabelleText"/>
              <w:rPr>
                <w:rFonts w:cs="Arial"/>
              </w:rPr>
            </w:pPr>
            <w:r w:rsidRPr="00201374">
              <w:rPr>
                <w:rFonts w:cs="Arial"/>
              </w:rPr>
              <w:t>Technischer Einwilligungs</w:t>
            </w:r>
            <w:r w:rsidR="00D41CB8">
              <w:rPr>
                <w:rFonts w:cs="Arial"/>
              </w:rPr>
              <w:t>-</w:t>
            </w:r>
            <w:r w:rsidRPr="00201374">
              <w:rPr>
                <w:rFonts w:cs="Arial"/>
              </w:rPr>
              <w:t xml:space="preserve"> und Autorisierungsprozess, mit dem PSD2 Drittanbieter Zugriff auf Bankdaten erhalten – gesteuert über Tokens, die nur exakt die erlaubten Daten freigeben.</w:t>
            </w:r>
          </w:p>
        </w:tc>
      </w:tr>
      <w:tr w:rsidR="009E1845" w:rsidRPr="00201374" w14:paraId="4E29BB7B"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79E938EA" w14:textId="6FE9D970" w:rsidR="009E1845" w:rsidRPr="00201374" w:rsidRDefault="009E1845" w:rsidP="009E1845">
            <w:pPr>
              <w:pStyle w:val="TabelleText"/>
              <w:rPr>
                <w:rFonts w:cs="Arial"/>
              </w:rPr>
            </w:pPr>
            <w:r w:rsidRPr="00201374">
              <w:rPr>
                <w:rFonts w:cs="Arial"/>
              </w:rPr>
              <w:t>OCSP</w:t>
            </w:r>
          </w:p>
        </w:tc>
        <w:tc>
          <w:tcPr>
            <w:tcW w:w="2500" w:type="pct"/>
            <w:tcBorders>
              <w:top w:val="single" w:sz="2" w:space="0" w:color="272727"/>
              <w:left w:val="single" w:sz="48" w:space="0" w:color="FFFFFF" w:themeColor="background1"/>
              <w:bottom w:val="single" w:sz="8" w:space="0" w:color="272727"/>
              <w:right w:val="nil"/>
            </w:tcBorders>
          </w:tcPr>
          <w:p w14:paraId="03397427" w14:textId="7947A348" w:rsidR="009E1845" w:rsidRPr="00201374" w:rsidRDefault="009E1845" w:rsidP="009E1845">
            <w:pPr>
              <w:pStyle w:val="TabelleText"/>
              <w:rPr>
                <w:rFonts w:cs="Arial"/>
              </w:rPr>
            </w:pPr>
            <w:r w:rsidRPr="00201374">
              <w:rPr>
                <w:rFonts w:cs="Arial"/>
              </w:rPr>
              <w:t>Online Certificate Status Protocol</w:t>
            </w:r>
          </w:p>
        </w:tc>
      </w:tr>
      <w:tr w:rsidR="009E1845" w:rsidRPr="003342FF" w14:paraId="47CDA45C"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429637E9" w14:textId="4C4FFC43" w:rsidR="009E1845" w:rsidRPr="00201374" w:rsidRDefault="009E1845" w:rsidP="009E1845">
            <w:pPr>
              <w:pStyle w:val="TabelleText"/>
              <w:rPr>
                <w:rFonts w:cs="Arial"/>
              </w:rPr>
            </w:pPr>
            <w:r w:rsidRPr="00201374">
              <w:rPr>
                <w:rFonts w:cs="Arial"/>
              </w:rPr>
              <w:t>PCI DSS</w:t>
            </w:r>
          </w:p>
        </w:tc>
        <w:tc>
          <w:tcPr>
            <w:tcW w:w="2500" w:type="pct"/>
            <w:tcBorders>
              <w:top w:val="single" w:sz="2" w:space="0" w:color="272727"/>
              <w:left w:val="single" w:sz="48" w:space="0" w:color="FFFFFF" w:themeColor="background1"/>
              <w:bottom w:val="single" w:sz="8" w:space="0" w:color="272727"/>
              <w:right w:val="nil"/>
            </w:tcBorders>
          </w:tcPr>
          <w:p w14:paraId="17EBB00D" w14:textId="338D80F7" w:rsidR="009E1845" w:rsidRPr="00201374" w:rsidRDefault="009E1845" w:rsidP="009E1845">
            <w:pPr>
              <w:pStyle w:val="TabelleText"/>
              <w:rPr>
                <w:rFonts w:cs="Arial"/>
                <w:lang w:val="en-US"/>
              </w:rPr>
            </w:pPr>
            <w:r w:rsidRPr="00201374">
              <w:rPr>
                <w:rFonts w:cs="Arial"/>
                <w:lang w:val="en-US"/>
              </w:rPr>
              <w:t>Payment Card Industry Data Security Standard</w:t>
            </w:r>
          </w:p>
        </w:tc>
      </w:tr>
      <w:tr w:rsidR="009E1845" w:rsidRPr="00201374" w14:paraId="4CA11675"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09B1E082" w14:textId="5699496A" w:rsidR="009E1845" w:rsidRPr="00201374" w:rsidRDefault="009E1845" w:rsidP="009E1845">
            <w:pPr>
              <w:pStyle w:val="TabelleText"/>
              <w:rPr>
                <w:rFonts w:cs="Arial"/>
              </w:rPr>
            </w:pPr>
            <w:r w:rsidRPr="00201374">
              <w:rPr>
                <w:rFonts w:cs="Arial"/>
              </w:rPr>
              <w:t>PISP</w:t>
            </w:r>
          </w:p>
        </w:tc>
        <w:tc>
          <w:tcPr>
            <w:tcW w:w="2500" w:type="pct"/>
            <w:tcBorders>
              <w:top w:val="single" w:sz="2" w:space="0" w:color="272727"/>
              <w:left w:val="single" w:sz="48" w:space="0" w:color="FFFFFF" w:themeColor="background1"/>
              <w:bottom w:val="single" w:sz="8" w:space="0" w:color="272727"/>
              <w:right w:val="nil"/>
            </w:tcBorders>
          </w:tcPr>
          <w:p w14:paraId="07FE94DA" w14:textId="51A23E80" w:rsidR="009E1845" w:rsidRPr="00201374" w:rsidRDefault="009E1845" w:rsidP="009E1845">
            <w:pPr>
              <w:pStyle w:val="TabelleText"/>
              <w:rPr>
                <w:rFonts w:cs="Arial"/>
              </w:rPr>
            </w:pPr>
            <w:r w:rsidRPr="00201374">
              <w:rPr>
                <w:rFonts w:cs="Arial"/>
              </w:rPr>
              <w:t>Payment Initiation Service Provider (Zahlungsauslösedienst)</w:t>
            </w:r>
          </w:p>
        </w:tc>
      </w:tr>
      <w:tr w:rsidR="009E1845" w:rsidRPr="00201374" w14:paraId="055876E1"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1B5780FB" w14:textId="584489EB" w:rsidR="009E1845" w:rsidRPr="00201374" w:rsidRDefault="009E1845" w:rsidP="009E1845">
            <w:pPr>
              <w:pStyle w:val="TabelleText"/>
              <w:rPr>
                <w:rFonts w:cs="Arial"/>
              </w:rPr>
            </w:pPr>
            <w:r w:rsidRPr="00201374">
              <w:rPr>
                <w:rFonts w:cs="Arial"/>
              </w:rPr>
              <w:t>POS</w:t>
            </w:r>
          </w:p>
        </w:tc>
        <w:tc>
          <w:tcPr>
            <w:tcW w:w="2500" w:type="pct"/>
            <w:tcBorders>
              <w:top w:val="single" w:sz="2" w:space="0" w:color="272727"/>
              <w:left w:val="single" w:sz="48" w:space="0" w:color="FFFFFF" w:themeColor="background1"/>
              <w:bottom w:val="single" w:sz="8" w:space="0" w:color="272727"/>
              <w:right w:val="nil"/>
            </w:tcBorders>
          </w:tcPr>
          <w:p w14:paraId="06FBCF9D" w14:textId="586BD8E8" w:rsidR="009E1845" w:rsidRPr="00201374" w:rsidRDefault="009E1845" w:rsidP="009E1845">
            <w:pPr>
              <w:pStyle w:val="TabelleText"/>
              <w:rPr>
                <w:rFonts w:cs="Arial"/>
              </w:rPr>
            </w:pPr>
            <w:r w:rsidRPr="00201374">
              <w:rPr>
                <w:rFonts w:cs="Arial"/>
              </w:rPr>
              <w:t>Point of Sale</w:t>
            </w:r>
          </w:p>
        </w:tc>
      </w:tr>
      <w:tr w:rsidR="009E1845" w:rsidRPr="00201374" w14:paraId="753167C1"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0567478D" w14:textId="3C6D22A2" w:rsidR="009E1845" w:rsidRPr="00201374" w:rsidRDefault="009E1845" w:rsidP="009E1845">
            <w:pPr>
              <w:pStyle w:val="TabelleText"/>
              <w:rPr>
                <w:rFonts w:cs="Arial"/>
              </w:rPr>
            </w:pPr>
            <w:r w:rsidRPr="00201374">
              <w:rPr>
                <w:rFonts w:cs="Arial"/>
              </w:rPr>
              <w:t>PSC</w:t>
            </w:r>
          </w:p>
        </w:tc>
        <w:tc>
          <w:tcPr>
            <w:tcW w:w="2500" w:type="pct"/>
            <w:tcBorders>
              <w:top w:val="single" w:sz="2" w:space="0" w:color="272727"/>
              <w:left w:val="single" w:sz="48" w:space="0" w:color="FFFFFF" w:themeColor="background1"/>
              <w:bottom w:val="single" w:sz="8" w:space="0" w:color="272727"/>
              <w:right w:val="nil"/>
            </w:tcBorders>
          </w:tcPr>
          <w:p w14:paraId="6630B234" w14:textId="41D67F56" w:rsidR="009E1845" w:rsidRPr="00201374" w:rsidRDefault="009E1845" w:rsidP="009E1845">
            <w:pPr>
              <w:pStyle w:val="TabelleText"/>
              <w:rPr>
                <w:rFonts w:cs="Arial"/>
              </w:rPr>
            </w:pPr>
            <w:r w:rsidRPr="00201374">
              <w:rPr>
                <w:rFonts w:cs="Arial"/>
              </w:rPr>
              <w:t>Personalized Security Credentials</w:t>
            </w:r>
          </w:p>
        </w:tc>
      </w:tr>
      <w:tr w:rsidR="009E1845" w:rsidRPr="003342FF" w14:paraId="0DED9E92"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67DA39C9" w14:textId="5CDFE1F4" w:rsidR="009E1845" w:rsidRPr="00201374" w:rsidRDefault="009E1845" w:rsidP="009E1845">
            <w:pPr>
              <w:pStyle w:val="TabelleText"/>
              <w:rPr>
                <w:rFonts w:cs="Arial"/>
              </w:rPr>
            </w:pPr>
            <w:r w:rsidRPr="00201374">
              <w:rPr>
                <w:rFonts w:cs="Arial"/>
              </w:rPr>
              <w:t>PSP</w:t>
            </w:r>
          </w:p>
        </w:tc>
        <w:tc>
          <w:tcPr>
            <w:tcW w:w="2500" w:type="pct"/>
            <w:tcBorders>
              <w:top w:val="single" w:sz="2" w:space="0" w:color="272727"/>
              <w:left w:val="single" w:sz="48" w:space="0" w:color="FFFFFF" w:themeColor="background1"/>
              <w:bottom w:val="single" w:sz="8" w:space="0" w:color="272727"/>
              <w:right w:val="nil"/>
            </w:tcBorders>
          </w:tcPr>
          <w:p w14:paraId="39E7D546" w14:textId="13EC3412" w:rsidR="009E1845" w:rsidRPr="00201374" w:rsidRDefault="009E1845" w:rsidP="009E1845">
            <w:pPr>
              <w:pStyle w:val="TabelleText"/>
              <w:rPr>
                <w:rFonts w:cs="Arial"/>
                <w:lang w:val="en-US"/>
              </w:rPr>
            </w:pPr>
            <w:r w:rsidRPr="00201374">
              <w:rPr>
                <w:rFonts w:cs="Arial"/>
                <w:lang w:val="en-US"/>
              </w:rPr>
              <w:t>Payment Service Provider (z. B. Finanzinstitut)</w:t>
            </w:r>
          </w:p>
        </w:tc>
      </w:tr>
      <w:tr w:rsidR="009E1845" w:rsidRPr="00201374" w14:paraId="423A3F15"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03209ADF" w14:textId="679655A0" w:rsidR="009E1845" w:rsidRPr="00201374" w:rsidRDefault="009E1845" w:rsidP="009E1845">
            <w:pPr>
              <w:pStyle w:val="TabelleText"/>
              <w:rPr>
                <w:rFonts w:cs="Arial"/>
              </w:rPr>
            </w:pPr>
            <w:r w:rsidRPr="00201374">
              <w:rPr>
                <w:rFonts w:cs="Arial"/>
              </w:rPr>
              <w:t>PSU</w:t>
            </w:r>
          </w:p>
        </w:tc>
        <w:tc>
          <w:tcPr>
            <w:tcW w:w="2500" w:type="pct"/>
            <w:tcBorders>
              <w:top w:val="single" w:sz="2" w:space="0" w:color="272727"/>
              <w:left w:val="single" w:sz="48" w:space="0" w:color="FFFFFF" w:themeColor="background1"/>
              <w:bottom w:val="single" w:sz="8" w:space="0" w:color="272727"/>
              <w:right w:val="nil"/>
            </w:tcBorders>
          </w:tcPr>
          <w:p w14:paraId="14E221E0" w14:textId="0D5FD915" w:rsidR="009E1845" w:rsidRPr="00201374" w:rsidRDefault="009E1845" w:rsidP="009E1845">
            <w:pPr>
              <w:pStyle w:val="TabelleText"/>
              <w:rPr>
                <w:rFonts w:cs="Arial"/>
              </w:rPr>
            </w:pPr>
            <w:r w:rsidRPr="00201374">
              <w:rPr>
                <w:rFonts w:cs="Arial"/>
              </w:rPr>
              <w:t>Payment Service User</w:t>
            </w:r>
          </w:p>
        </w:tc>
      </w:tr>
      <w:tr w:rsidR="009E1845" w:rsidRPr="00201374" w14:paraId="0A33DD64"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3B4C34F9" w14:textId="3117BB12" w:rsidR="009E1845" w:rsidRPr="00201374" w:rsidRDefault="009E1845" w:rsidP="009E1845">
            <w:pPr>
              <w:pStyle w:val="TabelleText"/>
              <w:rPr>
                <w:rFonts w:cs="Arial"/>
              </w:rPr>
            </w:pPr>
            <w:r w:rsidRPr="00201374">
              <w:rPr>
                <w:rFonts w:cs="Arial"/>
              </w:rPr>
              <w:t>RACI</w:t>
            </w:r>
          </w:p>
        </w:tc>
        <w:tc>
          <w:tcPr>
            <w:tcW w:w="2500" w:type="pct"/>
            <w:tcBorders>
              <w:top w:val="single" w:sz="2" w:space="0" w:color="272727"/>
              <w:left w:val="single" w:sz="48" w:space="0" w:color="FFFFFF" w:themeColor="background1"/>
              <w:bottom w:val="single" w:sz="8" w:space="0" w:color="272727"/>
              <w:right w:val="nil"/>
            </w:tcBorders>
          </w:tcPr>
          <w:p w14:paraId="759903CE" w14:textId="76705D1B" w:rsidR="009E1845" w:rsidRPr="00201374" w:rsidRDefault="009E1845" w:rsidP="009E1845">
            <w:pPr>
              <w:pStyle w:val="TabelleText"/>
              <w:rPr>
                <w:rFonts w:cs="Arial"/>
              </w:rPr>
            </w:pPr>
            <w:r w:rsidRPr="00201374">
              <w:rPr>
                <w:rFonts w:cs="Arial"/>
              </w:rPr>
              <w:t>Responsible (verantwortlich), Accountable (rechenschaftspflichtig), Consulted (konsultiert) und Informed (informiert)</w:t>
            </w:r>
          </w:p>
        </w:tc>
      </w:tr>
      <w:tr w:rsidR="009E1845" w:rsidRPr="00201374" w14:paraId="427F9786" w14:textId="77777777" w:rsidTr="005D70ED">
        <w:trPr>
          <w:trHeight w:val="55"/>
        </w:trPr>
        <w:tc>
          <w:tcPr>
            <w:tcW w:w="2500" w:type="pct"/>
            <w:tcBorders>
              <w:top w:val="single" w:sz="2" w:space="0" w:color="272727"/>
              <w:left w:val="nil"/>
              <w:bottom w:val="single" w:sz="8" w:space="0" w:color="272727"/>
              <w:right w:val="single" w:sz="48" w:space="0" w:color="FFFFFF" w:themeColor="background1"/>
            </w:tcBorders>
          </w:tcPr>
          <w:p w14:paraId="70A27D90" w14:textId="4FB0BE28" w:rsidR="009E1845" w:rsidRPr="00201374" w:rsidRDefault="009E1845" w:rsidP="009E1845">
            <w:pPr>
              <w:pStyle w:val="TabelleText"/>
              <w:rPr>
                <w:rFonts w:cs="Arial"/>
              </w:rPr>
            </w:pPr>
            <w:r w:rsidRPr="00201374">
              <w:rPr>
                <w:rFonts w:cs="Arial"/>
              </w:rPr>
              <w:lastRenderedPageBreak/>
              <w:t>RTS</w:t>
            </w:r>
          </w:p>
        </w:tc>
        <w:tc>
          <w:tcPr>
            <w:tcW w:w="2500" w:type="pct"/>
            <w:tcBorders>
              <w:top w:val="single" w:sz="2" w:space="0" w:color="272727"/>
              <w:left w:val="single" w:sz="48" w:space="0" w:color="FFFFFF" w:themeColor="background1"/>
              <w:bottom w:val="single" w:sz="8" w:space="0" w:color="272727"/>
              <w:right w:val="nil"/>
            </w:tcBorders>
          </w:tcPr>
          <w:p w14:paraId="24B80409" w14:textId="4A7BED5B" w:rsidR="009E1845" w:rsidRPr="00201374" w:rsidRDefault="009E1845" w:rsidP="009E1845">
            <w:pPr>
              <w:pStyle w:val="TabelleText"/>
              <w:rPr>
                <w:rFonts w:cs="Arial"/>
              </w:rPr>
            </w:pPr>
            <w:r w:rsidRPr="00201374">
              <w:rPr>
                <w:rFonts w:cs="Arial"/>
              </w:rPr>
              <w:t>Regulatory Technical Standards</w:t>
            </w:r>
          </w:p>
        </w:tc>
      </w:tr>
      <w:tr w:rsidR="009E1845" w:rsidRPr="00201374" w14:paraId="2887B489" w14:textId="77777777" w:rsidTr="005653F5">
        <w:trPr>
          <w:cantSplit/>
          <w:trHeight w:val="55"/>
        </w:trPr>
        <w:tc>
          <w:tcPr>
            <w:tcW w:w="2500" w:type="pct"/>
            <w:tcBorders>
              <w:top w:val="single" w:sz="2" w:space="0" w:color="272727"/>
              <w:left w:val="nil"/>
              <w:bottom w:val="single" w:sz="8" w:space="0" w:color="272727"/>
              <w:right w:val="single" w:sz="48" w:space="0" w:color="FFFFFF" w:themeColor="background1"/>
            </w:tcBorders>
          </w:tcPr>
          <w:p w14:paraId="3DA07DA4" w14:textId="0F4D9A52" w:rsidR="009E1845" w:rsidRPr="00201374" w:rsidRDefault="009E1845" w:rsidP="009E1845">
            <w:pPr>
              <w:pStyle w:val="TabelleText"/>
              <w:rPr>
                <w:rFonts w:cs="Arial"/>
              </w:rPr>
            </w:pPr>
            <w:r w:rsidRPr="00201374">
              <w:rPr>
                <w:rFonts w:cs="Arial"/>
              </w:rPr>
              <w:t>sfO</w:t>
            </w:r>
          </w:p>
        </w:tc>
        <w:tc>
          <w:tcPr>
            <w:tcW w:w="2500" w:type="pct"/>
            <w:tcBorders>
              <w:top w:val="single" w:sz="2" w:space="0" w:color="272727"/>
              <w:left w:val="single" w:sz="48" w:space="0" w:color="FFFFFF" w:themeColor="background1"/>
              <w:bottom w:val="single" w:sz="8" w:space="0" w:color="272727"/>
              <w:right w:val="nil"/>
            </w:tcBorders>
          </w:tcPr>
          <w:p w14:paraId="5100D8BD" w14:textId="2F260299" w:rsidR="009E1845" w:rsidRPr="00201374" w:rsidRDefault="009E1845" w:rsidP="009E1845">
            <w:pPr>
              <w:pStyle w:val="TabelleText"/>
              <w:rPr>
                <w:rFonts w:cs="Arial"/>
              </w:rPr>
            </w:pPr>
            <w:r w:rsidRPr="00201374">
              <w:rPr>
                <w:rFonts w:cs="Arial"/>
              </w:rPr>
              <w:t>Schriftlich fixierte Ordnung</w:t>
            </w:r>
          </w:p>
        </w:tc>
      </w:tr>
      <w:tr w:rsidR="009E1845" w:rsidRPr="00201374" w14:paraId="2D1BABB0" w14:textId="77777777" w:rsidTr="005653F5">
        <w:trPr>
          <w:cantSplit/>
          <w:trHeight w:val="55"/>
        </w:trPr>
        <w:tc>
          <w:tcPr>
            <w:tcW w:w="2500" w:type="pct"/>
            <w:tcBorders>
              <w:top w:val="single" w:sz="2" w:space="0" w:color="272727"/>
              <w:left w:val="nil"/>
              <w:bottom w:val="single" w:sz="8" w:space="0" w:color="272727"/>
              <w:right w:val="single" w:sz="48" w:space="0" w:color="FFFFFF" w:themeColor="background1"/>
            </w:tcBorders>
          </w:tcPr>
          <w:p w14:paraId="2D6CC433" w14:textId="603E7402" w:rsidR="009E1845" w:rsidRPr="00201374" w:rsidRDefault="009E1845" w:rsidP="009E1845">
            <w:pPr>
              <w:pStyle w:val="TabelleText"/>
              <w:rPr>
                <w:rFonts w:cs="Arial"/>
              </w:rPr>
            </w:pPr>
            <w:r w:rsidRPr="00201374">
              <w:rPr>
                <w:rFonts w:cs="Arial"/>
              </w:rPr>
              <w:t>SKA</w:t>
            </w:r>
          </w:p>
        </w:tc>
        <w:tc>
          <w:tcPr>
            <w:tcW w:w="2500" w:type="pct"/>
            <w:tcBorders>
              <w:top w:val="single" w:sz="2" w:space="0" w:color="272727"/>
              <w:left w:val="single" w:sz="48" w:space="0" w:color="FFFFFF" w:themeColor="background1"/>
              <w:bottom w:val="single" w:sz="8" w:space="0" w:color="272727"/>
              <w:right w:val="nil"/>
            </w:tcBorders>
          </w:tcPr>
          <w:p w14:paraId="40AFA362" w14:textId="56F5550E" w:rsidR="009E1845" w:rsidRPr="00201374" w:rsidRDefault="009E1845" w:rsidP="009E1845">
            <w:pPr>
              <w:pStyle w:val="TabelleText"/>
              <w:rPr>
                <w:rFonts w:cs="Arial"/>
              </w:rPr>
            </w:pPr>
            <w:r w:rsidRPr="00201374">
              <w:rPr>
                <w:rFonts w:cs="Arial"/>
              </w:rPr>
              <w:t>Starke Kundenauthentifizierung (2-Faktor-Kundenauthentifizierung)</w:t>
            </w:r>
          </w:p>
        </w:tc>
      </w:tr>
      <w:tr w:rsidR="009E1845" w:rsidRPr="00201374" w14:paraId="4624FBE8" w14:textId="77777777" w:rsidTr="005653F5">
        <w:trPr>
          <w:cantSplit/>
          <w:trHeight w:val="55"/>
        </w:trPr>
        <w:tc>
          <w:tcPr>
            <w:tcW w:w="2500" w:type="pct"/>
            <w:tcBorders>
              <w:top w:val="single" w:sz="2" w:space="0" w:color="272727"/>
              <w:left w:val="nil"/>
              <w:bottom w:val="single" w:sz="8" w:space="0" w:color="272727"/>
              <w:right w:val="single" w:sz="48" w:space="0" w:color="FFFFFF" w:themeColor="background1"/>
            </w:tcBorders>
          </w:tcPr>
          <w:p w14:paraId="23F68837" w14:textId="1CCCDC3F" w:rsidR="009E1845" w:rsidRPr="00201374" w:rsidRDefault="009E1845" w:rsidP="009E1845">
            <w:pPr>
              <w:pStyle w:val="TabelleText"/>
              <w:rPr>
                <w:rFonts w:cs="Arial"/>
              </w:rPr>
            </w:pPr>
            <w:r w:rsidRPr="00201374">
              <w:rPr>
                <w:rFonts w:cs="Arial"/>
              </w:rPr>
              <w:t>SLA</w:t>
            </w:r>
          </w:p>
        </w:tc>
        <w:tc>
          <w:tcPr>
            <w:tcW w:w="2500" w:type="pct"/>
            <w:tcBorders>
              <w:top w:val="single" w:sz="2" w:space="0" w:color="272727"/>
              <w:left w:val="single" w:sz="48" w:space="0" w:color="FFFFFF" w:themeColor="background1"/>
              <w:bottom w:val="single" w:sz="8" w:space="0" w:color="272727"/>
              <w:right w:val="nil"/>
            </w:tcBorders>
          </w:tcPr>
          <w:p w14:paraId="43D4649F" w14:textId="7A2A0E69" w:rsidR="009E1845" w:rsidRPr="00201374" w:rsidRDefault="009E1845" w:rsidP="009E1845">
            <w:pPr>
              <w:pStyle w:val="TabelleText"/>
              <w:rPr>
                <w:rFonts w:cs="Arial"/>
              </w:rPr>
            </w:pPr>
            <w:r w:rsidRPr="00201374">
              <w:rPr>
                <w:rFonts w:cs="Arial"/>
              </w:rPr>
              <w:t>Service Level Agreement</w:t>
            </w:r>
          </w:p>
        </w:tc>
      </w:tr>
      <w:tr w:rsidR="009E1845" w:rsidRPr="00201374" w14:paraId="7761948F" w14:textId="77777777" w:rsidTr="005653F5">
        <w:trPr>
          <w:cantSplit/>
          <w:trHeight w:val="55"/>
        </w:trPr>
        <w:tc>
          <w:tcPr>
            <w:tcW w:w="2500" w:type="pct"/>
            <w:tcBorders>
              <w:top w:val="single" w:sz="2" w:space="0" w:color="272727"/>
              <w:left w:val="nil"/>
              <w:bottom w:val="single" w:sz="8" w:space="0" w:color="272727"/>
              <w:right w:val="single" w:sz="48" w:space="0" w:color="FFFFFF" w:themeColor="background1"/>
            </w:tcBorders>
          </w:tcPr>
          <w:p w14:paraId="081F2D77" w14:textId="3A77D4D2" w:rsidR="009E1845" w:rsidRPr="00201374" w:rsidRDefault="009E1845" w:rsidP="009E1845">
            <w:pPr>
              <w:pStyle w:val="TabelleText"/>
              <w:rPr>
                <w:rFonts w:cs="Arial"/>
              </w:rPr>
            </w:pPr>
            <w:r w:rsidRPr="00201374">
              <w:rPr>
                <w:rFonts w:cs="Arial"/>
              </w:rPr>
              <w:t>TAN</w:t>
            </w:r>
          </w:p>
        </w:tc>
        <w:tc>
          <w:tcPr>
            <w:tcW w:w="2500" w:type="pct"/>
            <w:tcBorders>
              <w:top w:val="single" w:sz="2" w:space="0" w:color="272727"/>
              <w:left w:val="single" w:sz="48" w:space="0" w:color="FFFFFF" w:themeColor="background1"/>
              <w:bottom w:val="single" w:sz="8" w:space="0" w:color="272727"/>
              <w:right w:val="nil"/>
            </w:tcBorders>
          </w:tcPr>
          <w:p w14:paraId="2F1FF0B1" w14:textId="222C4DBD" w:rsidR="009E1845" w:rsidRPr="00201374" w:rsidRDefault="009E1845" w:rsidP="009E1845">
            <w:pPr>
              <w:pStyle w:val="TabelleText"/>
              <w:rPr>
                <w:rFonts w:cs="Arial"/>
              </w:rPr>
            </w:pPr>
            <w:r w:rsidRPr="00201374">
              <w:rPr>
                <w:rFonts w:cs="Arial"/>
              </w:rPr>
              <w:t>Transaktionsnummer</w:t>
            </w:r>
          </w:p>
        </w:tc>
      </w:tr>
      <w:tr w:rsidR="009E1845" w:rsidRPr="00201374" w14:paraId="15D4B28B" w14:textId="77777777" w:rsidTr="005653F5">
        <w:trPr>
          <w:cantSplit/>
          <w:trHeight w:val="55"/>
        </w:trPr>
        <w:tc>
          <w:tcPr>
            <w:tcW w:w="2500" w:type="pct"/>
            <w:tcBorders>
              <w:top w:val="single" w:sz="2" w:space="0" w:color="272727"/>
              <w:left w:val="nil"/>
              <w:bottom w:val="single" w:sz="8" w:space="0" w:color="272727"/>
              <w:right w:val="single" w:sz="48" w:space="0" w:color="FFFFFF" w:themeColor="background1"/>
            </w:tcBorders>
          </w:tcPr>
          <w:p w14:paraId="1B9BC4D8" w14:textId="18AF1026" w:rsidR="009E1845" w:rsidRPr="00201374" w:rsidRDefault="009E1845" w:rsidP="009E1845">
            <w:pPr>
              <w:pStyle w:val="TabelleText"/>
              <w:rPr>
                <w:rFonts w:cs="Arial"/>
              </w:rPr>
            </w:pPr>
            <w:r w:rsidRPr="00201374">
              <w:rPr>
                <w:rFonts w:cs="Arial"/>
              </w:rPr>
              <w:t>TOM</w:t>
            </w:r>
          </w:p>
        </w:tc>
        <w:tc>
          <w:tcPr>
            <w:tcW w:w="2500" w:type="pct"/>
            <w:tcBorders>
              <w:top w:val="single" w:sz="2" w:space="0" w:color="272727"/>
              <w:left w:val="single" w:sz="48" w:space="0" w:color="FFFFFF" w:themeColor="background1"/>
              <w:bottom w:val="single" w:sz="8" w:space="0" w:color="272727"/>
              <w:right w:val="nil"/>
            </w:tcBorders>
          </w:tcPr>
          <w:p w14:paraId="41DB518F" w14:textId="0F0B3608" w:rsidR="009E1845" w:rsidRPr="00201374" w:rsidRDefault="009E1845" w:rsidP="009E1845">
            <w:pPr>
              <w:pStyle w:val="TabelleText"/>
              <w:rPr>
                <w:rFonts w:cs="Arial"/>
              </w:rPr>
            </w:pPr>
            <w:r w:rsidRPr="00201374">
              <w:rPr>
                <w:rFonts w:cs="Arial"/>
              </w:rPr>
              <w:t>Target Operating Model</w:t>
            </w:r>
          </w:p>
        </w:tc>
      </w:tr>
      <w:tr w:rsidR="009E1845" w:rsidRPr="00201374" w14:paraId="3921A930" w14:textId="77777777" w:rsidTr="005653F5">
        <w:trPr>
          <w:cantSplit/>
          <w:trHeight w:val="55"/>
        </w:trPr>
        <w:tc>
          <w:tcPr>
            <w:tcW w:w="2500" w:type="pct"/>
            <w:tcBorders>
              <w:top w:val="single" w:sz="2" w:space="0" w:color="272727"/>
              <w:left w:val="nil"/>
              <w:bottom w:val="single" w:sz="8" w:space="0" w:color="272727"/>
              <w:right w:val="single" w:sz="48" w:space="0" w:color="FFFFFF" w:themeColor="background1"/>
            </w:tcBorders>
          </w:tcPr>
          <w:p w14:paraId="420F0B09" w14:textId="3C249B89" w:rsidR="009E1845" w:rsidRPr="00201374" w:rsidRDefault="009E1845" w:rsidP="009E1845">
            <w:pPr>
              <w:pStyle w:val="TabelleText"/>
              <w:rPr>
                <w:rFonts w:cs="Arial"/>
              </w:rPr>
            </w:pPr>
            <w:r w:rsidRPr="00201374">
              <w:rPr>
                <w:rFonts w:cs="Arial"/>
              </w:rPr>
              <w:t>TPP</w:t>
            </w:r>
          </w:p>
        </w:tc>
        <w:tc>
          <w:tcPr>
            <w:tcW w:w="2500" w:type="pct"/>
            <w:tcBorders>
              <w:top w:val="single" w:sz="2" w:space="0" w:color="272727"/>
              <w:left w:val="single" w:sz="48" w:space="0" w:color="FFFFFF" w:themeColor="background1"/>
              <w:bottom w:val="single" w:sz="8" w:space="0" w:color="272727"/>
              <w:right w:val="nil"/>
            </w:tcBorders>
          </w:tcPr>
          <w:p w14:paraId="562734CE" w14:textId="636FAD4F" w:rsidR="009E1845" w:rsidRPr="00201374" w:rsidRDefault="009E1845" w:rsidP="009E1845">
            <w:pPr>
              <w:pStyle w:val="TabelleText"/>
              <w:rPr>
                <w:rFonts w:cs="Arial"/>
              </w:rPr>
            </w:pPr>
            <w:r w:rsidRPr="00201374">
              <w:rPr>
                <w:rFonts w:cs="Arial"/>
              </w:rPr>
              <w:t>Third Party Provider (Drittanbieter)</w:t>
            </w:r>
          </w:p>
        </w:tc>
      </w:tr>
      <w:tr w:rsidR="009E1845" w:rsidRPr="00201374" w14:paraId="0841BD1B" w14:textId="77777777" w:rsidTr="005653F5">
        <w:trPr>
          <w:cantSplit/>
          <w:trHeight w:val="55"/>
        </w:trPr>
        <w:tc>
          <w:tcPr>
            <w:tcW w:w="2500" w:type="pct"/>
            <w:tcBorders>
              <w:top w:val="single" w:sz="2" w:space="0" w:color="272727"/>
              <w:left w:val="nil"/>
              <w:bottom w:val="single" w:sz="8" w:space="0" w:color="272727"/>
              <w:right w:val="single" w:sz="48" w:space="0" w:color="FFFFFF" w:themeColor="background1"/>
            </w:tcBorders>
          </w:tcPr>
          <w:p w14:paraId="5D02E98D" w14:textId="4E58A809" w:rsidR="009E1845" w:rsidRPr="00201374" w:rsidRDefault="009E1845" w:rsidP="009E1845">
            <w:pPr>
              <w:pStyle w:val="TabelleText"/>
              <w:rPr>
                <w:rFonts w:cs="Arial"/>
              </w:rPr>
            </w:pPr>
            <w:r w:rsidRPr="00201374">
              <w:rPr>
                <w:rFonts w:cs="Arial"/>
              </w:rPr>
              <w:t>ZAD</w:t>
            </w:r>
          </w:p>
        </w:tc>
        <w:tc>
          <w:tcPr>
            <w:tcW w:w="2500" w:type="pct"/>
            <w:tcBorders>
              <w:top w:val="single" w:sz="2" w:space="0" w:color="272727"/>
              <w:left w:val="single" w:sz="48" w:space="0" w:color="FFFFFF" w:themeColor="background1"/>
              <w:bottom w:val="single" w:sz="8" w:space="0" w:color="272727"/>
              <w:right w:val="nil"/>
            </w:tcBorders>
          </w:tcPr>
          <w:p w14:paraId="53C6AF59" w14:textId="3A33302B" w:rsidR="009E1845" w:rsidRPr="00201374" w:rsidRDefault="009E1845" w:rsidP="009E1845">
            <w:pPr>
              <w:pStyle w:val="TabelleText"/>
              <w:rPr>
                <w:rFonts w:cs="Arial"/>
              </w:rPr>
            </w:pPr>
            <w:r w:rsidRPr="00201374">
              <w:rPr>
                <w:rFonts w:cs="Arial"/>
              </w:rPr>
              <w:t>Zahlungsauslösedienstleister</w:t>
            </w:r>
          </w:p>
        </w:tc>
      </w:tr>
      <w:tr w:rsidR="009E1845" w:rsidRPr="00201374" w14:paraId="659FB243" w14:textId="77777777" w:rsidTr="005653F5">
        <w:trPr>
          <w:cantSplit/>
          <w:trHeight w:val="55"/>
        </w:trPr>
        <w:tc>
          <w:tcPr>
            <w:tcW w:w="2500" w:type="pct"/>
            <w:tcBorders>
              <w:top w:val="single" w:sz="2" w:space="0" w:color="272727"/>
              <w:left w:val="nil"/>
              <w:bottom w:val="single" w:sz="8" w:space="0" w:color="272727"/>
              <w:right w:val="single" w:sz="48" w:space="0" w:color="FFFFFF" w:themeColor="background1"/>
            </w:tcBorders>
          </w:tcPr>
          <w:p w14:paraId="5E33046D" w14:textId="58CBC5B9" w:rsidR="009E1845" w:rsidRPr="00201374" w:rsidRDefault="009E1845" w:rsidP="009E1845">
            <w:pPr>
              <w:pStyle w:val="TabelleText"/>
              <w:rPr>
                <w:rFonts w:cs="Arial"/>
              </w:rPr>
            </w:pPr>
            <w:r w:rsidRPr="00201374">
              <w:rPr>
                <w:rFonts w:cs="Arial"/>
              </w:rPr>
              <w:t>ZAG</w:t>
            </w:r>
          </w:p>
        </w:tc>
        <w:tc>
          <w:tcPr>
            <w:tcW w:w="2500" w:type="pct"/>
            <w:tcBorders>
              <w:top w:val="single" w:sz="2" w:space="0" w:color="272727"/>
              <w:left w:val="single" w:sz="48" w:space="0" w:color="FFFFFF" w:themeColor="background1"/>
              <w:bottom w:val="single" w:sz="8" w:space="0" w:color="272727"/>
              <w:right w:val="nil"/>
            </w:tcBorders>
          </w:tcPr>
          <w:p w14:paraId="663DA2E9" w14:textId="1C6D3DD3" w:rsidR="009E1845" w:rsidRPr="00201374" w:rsidRDefault="009E1845" w:rsidP="009E1845">
            <w:pPr>
              <w:pStyle w:val="TabelleText"/>
              <w:rPr>
                <w:rFonts w:cs="Arial"/>
              </w:rPr>
            </w:pPr>
            <w:r w:rsidRPr="00201374">
              <w:rPr>
                <w:rFonts w:cs="Arial"/>
              </w:rPr>
              <w:t>Zahlungsdienstaufsichtsgesetz</w:t>
            </w:r>
          </w:p>
        </w:tc>
      </w:tr>
    </w:tbl>
    <w:p w14:paraId="0B95D62E" w14:textId="338A72DB" w:rsidR="0021712F" w:rsidRPr="00201374" w:rsidRDefault="00167CC6" w:rsidP="007A4A95">
      <w:pPr>
        <w:rPr>
          <w:rFonts w:cs="Arial"/>
        </w:rPr>
      </w:pPr>
      <w:r w:rsidRPr="00201374">
        <w:rPr>
          <w:rFonts w:cs="Arial"/>
        </w:rPr>
        <w:br w:type="page"/>
      </w:r>
    </w:p>
    <w:p w14:paraId="032AD2AA" w14:textId="77777777" w:rsidR="00A435EE" w:rsidRPr="00201374" w:rsidRDefault="00A435EE" w:rsidP="00A435EE">
      <w:pPr>
        <w:spacing w:before="0" w:after="1500" w:line="360" w:lineRule="exact"/>
        <w:rPr>
          <w:rFonts w:cs="Arial"/>
          <w:color w:val="272727"/>
          <w:sz w:val="25"/>
          <w:szCs w:val="25"/>
        </w:rPr>
      </w:pPr>
      <w:r w:rsidRPr="00201374">
        <w:rPr>
          <w:rFonts w:cs="Arial"/>
          <w:color w:val="272727"/>
          <w:sz w:val="25"/>
          <w:szCs w:val="25"/>
        </w:rPr>
        <w:lastRenderedPageBreak/>
        <w:t>Autoren</w:t>
      </w:r>
    </w:p>
    <w:p w14:paraId="6BC95945" w14:textId="77777777" w:rsidR="00A435EE" w:rsidRPr="00201374" w:rsidRDefault="00A435EE" w:rsidP="00A435EE">
      <w:pPr>
        <w:rPr>
          <w:rFonts w:cs="Arial"/>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6708"/>
      </w:tblGrid>
      <w:tr w:rsidR="00A435EE" w:rsidRPr="00201374" w14:paraId="59128B10" w14:textId="77777777" w:rsidTr="00D42120">
        <w:tc>
          <w:tcPr>
            <w:tcW w:w="2500" w:type="pct"/>
            <w:tcBorders>
              <w:top w:val="single" w:sz="12" w:space="0" w:color="252626"/>
              <w:bottom w:val="single" w:sz="8" w:space="0" w:color="252626"/>
              <w:right w:val="single" w:sz="48" w:space="0" w:color="FFFFFF" w:themeColor="background1"/>
            </w:tcBorders>
          </w:tcPr>
          <w:p w14:paraId="26729172" w14:textId="77777777" w:rsidR="00A435EE" w:rsidRPr="00201374" w:rsidRDefault="00A435EE" w:rsidP="00D42120">
            <w:pPr>
              <w:pStyle w:val="Tabelleberschrift1"/>
              <w:rPr>
                <w:rFonts w:cs="Arial"/>
              </w:rPr>
            </w:pPr>
            <w:r w:rsidRPr="00201374">
              <w:rPr>
                <w:rFonts w:cs="Arial"/>
              </w:rPr>
              <w:t>Name</w:t>
            </w:r>
          </w:p>
        </w:tc>
        <w:tc>
          <w:tcPr>
            <w:tcW w:w="2500" w:type="pct"/>
            <w:tcBorders>
              <w:top w:val="single" w:sz="12" w:space="0" w:color="252626"/>
              <w:left w:val="single" w:sz="48" w:space="0" w:color="FFFFFF" w:themeColor="background1"/>
              <w:bottom w:val="single" w:sz="8" w:space="0" w:color="252626"/>
            </w:tcBorders>
          </w:tcPr>
          <w:p w14:paraId="1442931D" w14:textId="77777777" w:rsidR="00A435EE" w:rsidRPr="00201374" w:rsidRDefault="00A435EE" w:rsidP="00D42120">
            <w:pPr>
              <w:pStyle w:val="Tabelleberschrift1"/>
              <w:rPr>
                <w:rFonts w:cs="Arial"/>
              </w:rPr>
            </w:pPr>
            <w:r w:rsidRPr="00201374">
              <w:rPr>
                <w:rFonts w:cs="Arial"/>
              </w:rPr>
              <w:t>Institut</w:t>
            </w:r>
          </w:p>
        </w:tc>
      </w:tr>
      <w:tr w:rsidR="00A435EE" w:rsidRPr="00201374" w14:paraId="0F8D63C0" w14:textId="77777777" w:rsidTr="00D42120">
        <w:tc>
          <w:tcPr>
            <w:tcW w:w="2500" w:type="pct"/>
            <w:tcBorders>
              <w:top w:val="single" w:sz="8" w:space="0" w:color="252626"/>
              <w:bottom w:val="single" w:sz="2" w:space="0" w:color="252626"/>
              <w:right w:val="single" w:sz="48" w:space="0" w:color="FFFFFF" w:themeColor="background1"/>
            </w:tcBorders>
          </w:tcPr>
          <w:p w14:paraId="376DC240" w14:textId="24C82B73" w:rsidR="00A435EE" w:rsidRPr="00201374" w:rsidRDefault="005744E4" w:rsidP="00A435EE">
            <w:pPr>
              <w:pStyle w:val="TabelleText"/>
              <w:rPr>
                <w:rFonts w:cs="Arial"/>
              </w:rPr>
            </w:pPr>
            <w:r w:rsidRPr="00201374">
              <w:rPr>
                <w:rFonts w:cs="Arial"/>
              </w:rPr>
              <w:t xml:space="preserve">Anna-Lena Grubert </w:t>
            </w:r>
            <w:r w:rsidRPr="00EB6014">
              <w:rPr>
                <w:rFonts w:cs="Arial"/>
              </w:rPr>
              <w:t>(</w:t>
            </w:r>
            <w:r w:rsidRPr="00EB6014">
              <w:rPr>
                <w:rFonts w:cs="Arial"/>
                <w:iCs/>
              </w:rPr>
              <w:t>Arbeitskreisleitung</w:t>
            </w:r>
            <w:r w:rsidRPr="00EB6014">
              <w:rPr>
                <w:rFonts w:cs="Arial"/>
              </w:rPr>
              <w:t>)</w:t>
            </w:r>
          </w:p>
        </w:tc>
        <w:tc>
          <w:tcPr>
            <w:tcW w:w="2500" w:type="pct"/>
            <w:tcBorders>
              <w:top w:val="single" w:sz="8" w:space="0" w:color="252626"/>
              <w:left w:val="single" w:sz="48" w:space="0" w:color="FFFFFF" w:themeColor="background1"/>
              <w:bottom w:val="single" w:sz="2" w:space="0" w:color="252626"/>
            </w:tcBorders>
          </w:tcPr>
          <w:p w14:paraId="08C1D823" w14:textId="253ADC9B" w:rsidR="00A435EE" w:rsidRPr="00201374" w:rsidRDefault="005744E4" w:rsidP="00A435EE">
            <w:pPr>
              <w:pStyle w:val="TabelleText"/>
              <w:rPr>
                <w:rFonts w:cs="Arial"/>
              </w:rPr>
            </w:pPr>
            <w:r w:rsidRPr="00201374">
              <w:rPr>
                <w:rFonts w:cs="Arial"/>
              </w:rPr>
              <w:t>Nassauische Sparkasse</w:t>
            </w:r>
          </w:p>
        </w:tc>
      </w:tr>
      <w:tr w:rsidR="00A435EE" w:rsidRPr="00201374" w14:paraId="55A6A51E" w14:textId="77777777" w:rsidTr="00D42120">
        <w:tc>
          <w:tcPr>
            <w:tcW w:w="2500" w:type="pct"/>
            <w:tcBorders>
              <w:top w:val="single" w:sz="2" w:space="0" w:color="252626"/>
              <w:bottom w:val="single" w:sz="2" w:space="0" w:color="252626"/>
              <w:right w:val="single" w:sz="48" w:space="0" w:color="FFFFFF" w:themeColor="background1"/>
            </w:tcBorders>
          </w:tcPr>
          <w:p w14:paraId="3E387698" w14:textId="327503FD" w:rsidR="00A435EE" w:rsidRPr="00201374" w:rsidRDefault="005744E4" w:rsidP="00A435EE">
            <w:pPr>
              <w:pStyle w:val="TabelleText"/>
              <w:rPr>
                <w:rFonts w:cs="Arial"/>
              </w:rPr>
            </w:pPr>
            <w:r w:rsidRPr="00201374">
              <w:rPr>
                <w:rFonts w:cs="Arial"/>
              </w:rPr>
              <w:t>Carolin Gerke</w:t>
            </w:r>
          </w:p>
        </w:tc>
        <w:tc>
          <w:tcPr>
            <w:tcW w:w="2500" w:type="pct"/>
            <w:tcBorders>
              <w:top w:val="single" w:sz="2" w:space="0" w:color="252626"/>
              <w:left w:val="single" w:sz="48" w:space="0" w:color="FFFFFF" w:themeColor="background1"/>
              <w:bottom w:val="single" w:sz="2" w:space="0" w:color="252626"/>
            </w:tcBorders>
          </w:tcPr>
          <w:p w14:paraId="172A87C1" w14:textId="0BE525C8" w:rsidR="00A435EE" w:rsidRPr="00201374" w:rsidRDefault="005744E4" w:rsidP="00A435EE">
            <w:pPr>
              <w:pStyle w:val="TabelleText"/>
              <w:rPr>
                <w:rFonts w:cs="Arial"/>
              </w:rPr>
            </w:pPr>
            <w:r w:rsidRPr="00201374">
              <w:rPr>
                <w:rFonts w:cs="Arial"/>
              </w:rPr>
              <w:t>Hamburg Commercial Bank</w:t>
            </w:r>
          </w:p>
        </w:tc>
      </w:tr>
      <w:tr w:rsidR="00A435EE" w:rsidRPr="00201374" w14:paraId="7566A9BF" w14:textId="77777777" w:rsidTr="005744E4">
        <w:tc>
          <w:tcPr>
            <w:tcW w:w="2500" w:type="pct"/>
            <w:tcBorders>
              <w:top w:val="single" w:sz="2" w:space="0" w:color="252626"/>
              <w:bottom w:val="single" w:sz="2" w:space="0" w:color="252626"/>
              <w:right w:val="single" w:sz="48" w:space="0" w:color="FFFFFF" w:themeColor="background1"/>
            </w:tcBorders>
          </w:tcPr>
          <w:p w14:paraId="75195DF7" w14:textId="1D789E9A" w:rsidR="00A435EE" w:rsidRPr="00201374" w:rsidRDefault="005744E4" w:rsidP="00A435EE">
            <w:pPr>
              <w:pStyle w:val="TabelleText"/>
              <w:rPr>
                <w:rFonts w:cs="Arial"/>
              </w:rPr>
            </w:pPr>
            <w:r w:rsidRPr="00201374">
              <w:rPr>
                <w:rFonts w:cs="Arial"/>
              </w:rPr>
              <w:t>Markus Herrgesell</w:t>
            </w:r>
          </w:p>
        </w:tc>
        <w:tc>
          <w:tcPr>
            <w:tcW w:w="2500" w:type="pct"/>
            <w:tcBorders>
              <w:top w:val="single" w:sz="2" w:space="0" w:color="252626"/>
              <w:left w:val="single" w:sz="48" w:space="0" w:color="FFFFFF" w:themeColor="background1"/>
              <w:bottom w:val="single" w:sz="2" w:space="0" w:color="252626"/>
            </w:tcBorders>
          </w:tcPr>
          <w:p w14:paraId="6936C669" w14:textId="7C5955B3" w:rsidR="00A435EE" w:rsidRPr="00201374" w:rsidRDefault="005744E4" w:rsidP="00A435EE">
            <w:pPr>
              <w:pStyle w:val="TabelleText"/>
              <w:rPr>
                <w:rFonts w:cs="Arial"/>
              </w:rPr>
            </w:pPr>
            <w:r w:rsidRPr="00201374">
              <w:rPr>
                <w:rFonts w:cs="Arial"/>
              </w:rPr>
              <w:t>Deutsche Apotheker- und Ärztebank eG</w:t>
            </w:r>
          </w:p>
        </w:tc>
      </w:tr>
      <w:tr w:rsidR="005744E4" w:rsidRPr="00201374" w14:paraId="6557C27B" w14:textId="77777777" w:rsidTr="005744E4">
        <w:tc>
          <w:tcPr>
            <w:tcW w:w="2500" w:type="pct"/>
            <w:tcBorders>
              <w:top w:val="single" w:sz="2" w:space="0" w:color="252626"/>
              <w:bottom w:val="single" w:sz="2" w:space="0" w:color="252626"/>
              <w:right w:val="single" w:sz="48" w:space="0" w:color="FFFFFF" w:themeColor="background1"/>
            </w:tcBorders>
          </w:tcPr>
          <w:p w14:paraId="6839CEAB" w14:textId="337C5338" w:rsidR="005744E4" w:rsidRPr="00201374" w:rsidRDefault="005744E4" w:rsidP="00A435EE">
            <w:pPr>
              <w:pStyle w:val="TabelleText"/>
              <w:rPr>
                <w:rFonts w:cs="Arial"/>
              </w:rPr>
            </w:pPr>
            <w:r w:rsidRPr="00201374">
              <w:rPr>
                <w:rFonts w:cs="Arial"/>
              </w:rPr>
              <w:t>Manuela Ludwig</w:t>
            </w:r>
          </w:p>
        </w:tc>
        <w:tc>
          <w:tcPr>
            <w:tcW w:w="2500" w:type="pct"/>
            <w:tcBorders>
              <w:top w:val="single" w:sz="2" w:space="0" w:color="252626"/>
              <w:left w:val="single" w:sz="48" w:space="0" w:color="FFFFFF" w:themeColor="background1"/>
              <w:bottom w:val="single" w:sz="2" w:space="0" w:color="252626"/>
            </w:tcBorders>
          </w:tcPr>
          <w:p w14:paraId="0CBA623F" w14:textId="1088C06D" w:rsidR="005744E4" w:rsidRPr="00201374" w:rsidRDefault="005744E4" w:rsidP="00A435EE">
            <w:pPr>
              <w:pStyle w:val="TabelleText"/>
              <w:rPr>
                <w:rFonts w:cs="Arial"/>
              </w:rPr>
            </w:pPr>
            <w:r w:rsidRPr="00201374">
              <w:rPr>
                <w:rFonts w:cs="Arial"/>
              </w:rPr>
              <w:t>Hessische Landesbank</w:t>
            </w:r>
          </w:p>
        </w:tc>
      </w:tr>
      <w:tr w:rsidR="005744E4" w:rsidRPr="00201374" w14:paraId="2D91DCF5" w14:textId="77777777" w:rsidTr="005744E4">
        <w:tc>
          <w:tcPr>
            <w:tcW w:w="2500" w:type="pct"/>
            <w:tcBorders>
              <w:top w:val="single" w:sz="2" w:space="0" w:color="252626"/>
              <w:bottom w:val="single" w:sz="2" w:space="0" w:color="252626"/>
              <w:right w:val="single" w:sz="48" w:space="0" w:color="FFFFFF" w:themeColor="background1"/>
            </w:tcBorders>
          </w:tcPr>
          <w:p w14:paraId="55A8D691" w14:textId="46164519" w:rsidR="005744E4" w:rsidRPr="00201374" w:rsidRDefault="005744E4" w:rsidP="00A435EE">
            <w:pPr>
              <w:pStyle w:val="TabelleText"/>
              <w:rPr>
                <w:rFonts w:cs="Arial"/>
              </w:rPr>
            </w:pPr>
            <w:r w:rsidRPr="00201374">
              <w:rPr>
                <w:rFonts w:cs="Arial"/>
              </w:rPr>
              <w:t>Robert Marenow</w:t>
            </w:r>
          </w:p>
        </w:tc>
        <w:tc>
          <w:tcPr>
            <w:tcW w:w="2500" w:type="pct"/>
            <w:tcBorders>
              <w:top w:val="single" w:sz="2" w:space="0" w:color="252626"/>
              <w:left w:val="single" w:sz="48" w:space="0" w:color="FFFFFF" w:themeColor="background1"/>
              <w:bottom w:val="single" w:sz="2" w:space="0" w:color="252626"/>
            </w:tcBorders>
          </w:tcPr>
          <w:p w14:paraId="493C68EB" w14:textId="2DB2F964" w:rsidR="005744E4" w:rsidRPr="00201374" w:rsidRDefault="005744E4" w:rsidP="00A435EE">
            <w:pPr>
              <w:pStyle w:val="TabelleText"/>
              <w:rPr>
                <w:rFonts w:cs="Arial"/>
              </w:rPr>
            </w:pPr>
            <w:r w:rsidRPr="00201374">
              <w:rPr>
                <w:rFonts w:cs="Arial"/>
              </w:rPr>
              <w:t>Deutsche Bundesbank</w:t>
            </w:r>
          </w:p>
        </w:tc>
      </w:tr>
      <w:tr w:rsidR="005744E4" w:rsidRPr="00201374" w14:paraId="25988510" w14:textId="77777777" w:rsidTr="005744E4">
        <w:tc>
          <w:tcPr>
            <w:tcW w:w="2500" w:type="pct"/>
            <w:tcBorders>
              <w:top w:val="single" w:sz="2" w:space="0" w:color="252626"/>
              <w:bottom w:val="single" w:sz="2" w:space="0" w:color="252626"/>
              <w:right w:val="single" w:sz="48" w:space="0" w:color="FFFFFF" w:themeColor="background1"/>
            </w:tcBorders>
          </w:tcPr>
          <w:p w14:paraId="602253CB" w14:textId="1FC16201" w:rsidR="005744E4" w:rsidRPr="00201374" w:rsidRDefault="005744E4" w:rsidP="00A435EE">
            <w:pPr>
              <w:pStyle w:val="TabelleText"/>
              <w:rPr>
                <w:rFonts w:cs="Arial"/>
              </w:rPr>
            </w:pPr>
            <w:r w:rsidRPr="00201374">
              <w:rPr>
                <w:rFonts w:cs="Arial"/>
              </w:rPr>
              <w:t>Benedikt Schwab</w:t>
            </w:r>
          </w:p>
        </w:tc>
        <w:tc>
          <w:tcPr>
            <w:tcW w:w="2500" w:type="pct"/>
            <w:tcBorders>
              <w:top w:val="single" w:sz="2" w:space="0" w:color="252626"/>
              <w:left w:val="single" w:sz="48" w:space="0" w:color="FFFFFF" w:themeColor="background1"/>
              <w:bottom w:val="single" w:sz="2" w:space="0" w:color="252626"/>
            </w:tcBorders>
          </w:tcPr>
          <w:p w14:paraId="1FF56E63" w14:textId="481E5ADA" w:rsidR="005744E4" w:rsidRPr="00201374" w:rsidRDefault="005744E4" w:rsidP="00A435EE">
            <w:pPr>
              <w:pStyle w:val="TabelleText"/>
              <w:rPr>
                <w:rFonts w:cs="Arial"/>
              </w:rPr>
            </w:pPr>
            <w:r w:rsidRPr="00201374">
              <w:rPr>
                <w:rFonts w:cs="Arial"/>
              </w:rPr>
              <w:t>Commerzbank</w:t>
            </w:r>
          </w:p>
        </w:tc>
      </w:tr>
      <w:tr w:rsidR="005744E4" w:rsidRPr="00201374" w14:paraId="2EE4869B" w14:textId="77777777" w:rsidTr="005744E4">
        <w:tc>
          <w:tcPr>
            <w:tcW w:w="2500" w:type="pct"/>
            <w:tcBorders>
              <w:top w:val="single" w:sz="2" w:space="0" w:color="252626"/>
              <w:bottom w:val="single" w:sz="2" w:space="0" w:color="252626"/>
              <w:right w:val="single" w:sz="48" w:space="0" w:color="FFFFFF" w:themeColor="background1"/>
            </w:tcBorders>
          </w:tcPr>
          <w:p w14:paraId="03368005" w14:textId="3311415A" w:rsidR="005744E4" w:rsidRPr="00201374" w:rsidRDefault="005744E4" w:rsidP="00A435EE">
            <w:pPr>
              <w:pStyle w:val="TabelleText"/>
              <w:rPr>
                <w:rFonts w:cs="Arial"/>
              </w:rPr>
            </w:pPr>
            <w:r w:rsidRPr="00201374">
              <w:rPr>
                <w:rFonts w:cs="Arial"/>
              </w:rPr>
              <w:t>Marcus Steinbach</w:t>
            </w:r>
          </w:p>
        </w:tc>
        <w:tc>
          <w:tcPr>
            <w:tcW w:w="2500" w:type="pct"/>
            <w:tcBorders>
              <w:top w:val="single" w:sz="2" w:space="0" w:color="252626"/>
              <w:left w:val="single" w:sz="48" w:space="0" w:color="FFFFFF" w:themeColor="background1"/>
              <w:bottom w:val="single" w:sz="2" w:space="0" w:color="252626"/>
            </w:tcBorders>
          </w:tcPr>
          <w:p w14:paraId="5CD9E9A0" w14:textId="6E752961" w:rsidR="005744E4" w:rsidRPr="00201374" w:rsidRDefault="005744E4" w:rsidP="00A435EE">
            <w:pPr>
              <w:pStyle w:val="TabelleText"/>
              <w:rPr>
                <w:rFonts w:cs="Arial"/>
              </w:rPr>
            </w:pPr>
            <w:r w:rsidRPr="00201374">
              <w:rPr>
                <w:rFonts w:cs="Arial"/>
              </w:rPr>
              <w:t>Landesbank Baden-Württemberg</w:t>
            </w:r>
          </w:p>
        </w:tc>
      </w:tr>
      <w:tr w:rsidR="005744E4" w:rsidRPr="00201374" w14:paraId="6A2D2CED" w14:textId="77777777" w:rsidTr="005744E4">
        <w:tc>
          <w:tcPr>
            <w:tcW w:w="2500" w:type="pct"/>
            <w:tcBorders>
              <w:top w:val="single" w:sz="2" w:space="0" w:color="252626"/>
              <w:bottom w:val="single" w:sz="2" w:space="0" w:color="252626"/>
              <w:right w:val="single" w:sz="48" w:space="0" w:color="FFFFFF" w:themeColor="background1"/>
            </w:tcBorders>
          </w:tcPr>
          <w:p w14:paraId="1D6B91C4" w14:textId="3DA72ADC" w:rsidR="005744E4" w:rsidRPr="00201374" w:rsidRDefault="005744E4" w:rsidP="00A435EE">
            <w:pPr>
              <w:pStyle w:val="TabelleText"/>
              <w:rPr>
                <w:rFonts w:cs="Arial"/>
              </w:rPr>
            </w:pPr>
            <w:r w:rsidRPr="00201374">
              <w:rPr>
                <w:rFonts w:cs="Arial"/>
              </w:rPr>
              <w:t xml:space="preserve">Nino Streck </w:t>
            </w:r>
          </w:p>
        </w:tc>
        <w:tc>
          <w:tcPr>
            <w:tcW w:w="2500" w:type="pct"/>
            <w:tcBorders>
              <w:top w:val="single" w:sz="2" w:space="0" w:color="252626"/>
              <w:left w:val="single" w:sz="48" w:space="0" w:color="FFFFFF" w:themeColor="background1"/>
              <w:bottom w:val="single" w:sz="2" w:space="0" w:color="252626"/>
            </w:tcBorders>
          </w:tcPr>
          <w:p w14:paraId="42C3BCC2" w14:textId="7B242AF3" w:rsidR="005744E4" w:rsidRPr="00201374" w:rsidRDefault="005744E4" w:rsidP="00A435EE">
            <w:pPr>
              <w:pStyle w:val="TabelleText"/>
              <w:rPr>
                <w:rFonts w:cs="Arial"/>
              </w:rPr>
            </w:pPr>
            <w:r w:rsidRPr="00201374">
              <w:rPr>
                <w:rFonts w:cs="Arial"/>
              </w:rPr>
              <w:t>Unicredit Bank GmbH</w:t>
            </w:r>
          </w:p>
        </w:tc>
      </w:tr>
      <w:tr w:rsidR="005744E4" w:rsidRPr="00201374" w14:paraId="39EADA4A" w14:textId="77777777" w:rsidTr="005744E4">
        <w:tc>
          <w:tcPr>
            <w:tcW w:w="2500" w:type="pct"/>
            <w:tcBorders>
              <w:top w:val="single" w:sz="2" w:space="0" w:color="252626"/>
              <w:bottom w:val="single" w:sz="2" w:space="0" w:color="252626"/>
              <w:right w:val="single" w:sz="48" w:space="0" w:color="FFFFFF" w:themeColor="background1"/>
            </w:tcBorders>
          </w:tcPr>
          <w:p w14:paraId="7E81FE5C" w14:textId="37EA948F" w:rsidR="005744E4" w:rsidRPr="00201374" w:rsidRDefault="005744E4" w:rsidP="00A435EE">
            <w:pPr>
              <w:pStyle w:val="TabelleText"/>
              <w:rPr>
                <w:rFonts w:cs="Arial"/>
              </w:rPr>
            </w:pPr>
            <w:r w:rsidRPr="00201374">
              <w:rPr>
                <w:rFonts w:cs="Arial"/>
              </w:rPr>
              <w:t>Tobias Weigel</w:t>
            </w:r>
          </w:p>
        </w:tc>
        <w:tc>
          <w:tcPr>
            <w:tcW w:w="2500" w:type="pct"/>
            <w:tcBorders>
              <w:top w:val="single" w:sz="2" w:space="0" w:color="252626"/>
              <w:left w:val="single" w:sz="48" w:space="0" w:color="FFFFFF" w:themeColor="background1"/>
              <w:bottom w:val="single" w:sz="2" w:space="0" w:color="252626"/>
            </w:tcBorders>
          </w:tcPr>
          <w:p w14:paraId="5C07FFBD" w14:textId="1B1EBD5E" w:rsidR="005744E4" w:rsidRPr="00201374" w:rsidRDefault="005744E4" w:rsidP="00A435EE">
            <w:pPr>
              <w:pStyle w:val="TabelleText"/>
              <w:rPr>
                <w:rFonts w:cs="Arial"/>
              </w:rPr>
            </w:pPr>
            <w:r w:rsidRPr="00201374">
              <w:rPr>
                <w:rFonts w:cs="Arial"/>
              </w:rPr>
              <w:t>Nord/LB</w:t>
            </w:r>
          </w:p>
        </w:tc>
      </w:tr>
    </w:tbl>
    <w:p w14:paraId="58FFEA9E" w14:textId="2D124F8B" w:rsidR="00EB6014" w:rsidRPr="009520E2" w:rsidRDefault="00EB6014" w:rsidP="00EB6014">
      <w:pPr>
        <w:rPr>
          <w:rStyle w:val="Hyperlink"/>
          <w:rFonts w:cs="Arial"/>
          <w:color w:val="auto"/>
        </w:rPr>
      </w:pPr>
      <w:r w:rsidRPr="009520E2">
        <w:rPr>
          <w:rStyle w:val="Hyperlink"/>
          <w:rFonts w:cs="Arial"/>
          <w:color w:val="auto"/>
        </w:rPr>
        <w:t>Veröffentlicht</w:t>
      </w:r>
      <w:r w:rsidR="00C92CF7">
        <w:rPr>
          <w:rStyle w:val="Hyperlink"/>
          <w:rFonts w:cs="Arial"/>
          <w:color w:val="auto"/>
        </w:rPr>
        <w:t xml:space="preserve"> auf </w:t>
      </w:r>
      <w:hyperlink r:id="rId16" w:history="1">
        <w:r w:rsidR="00C92CF7" w:rsidRPr="00C92CF7">
          <w:rPr>
            <w:rStyle w:val="Hyperlink"/>
            <w:rFonts w:cs="Arial"/>
          </w:rPr>
          <w:t>www.diir.de</w:t>
        </w:r>
      </w:hyperlink>
      <w:r w:rsidR="00C92CF7">
        <w:rPr>
          <w:rStyle w:val="Hyperlink"/>
          <w:rFonts w:cs="Arial"/>
          <w:color w:val="auto"/>
        </w:rPr>
        <w:t>.</w:t>
      </w:r>
    </w:p>
    <w:p w14:paraId="6CD88976" w14:textId="1B10D3E5" w:rsidR="00EB6014" w:rsidRPr="00EB6014" w:rsidRDefault="00EB6014" w:rsidP="0038794E">
      <w:pPr>
        <w:rPr>
          <w:rStyle w:val="Hyperlink"/>
          <w:rFonts w:cs="Arial"/>
          <w:color w:val="auto"/>
        </w:rPr>
      </w:pPr>
      <w:r w:rsidRPr="009520E2">
        <w:rPr>
          <w:rStyle w:val="Hyperlink"/>
          <w:rFonts w:cs="Arial"/>
          <w:color w:val="auto"/>
        </w:rPr>
        <w:t>Frankfurt am Mai</w:t>
      </w:r>
      <w:r w:rsidRPr="00EB6014">
        <w:rPr>
          <w:rStyle w:val="Hyperlink"/>
          <w:rFonts w:cs="Arial"/>
          <w:color w:val="auto"/>
        </w:rPr>
        <w:t>n, September 2026</w:t>
      </w:r>
    </w:p>
    <w:p w14:paraId="7E8AEB09" w14:textId="3BC21962" w:rsidR="00A435EE" w:rsidRPr="00201374" w:rsidRDefault="00EB6014" w:rsidP="0038794E">
      <w:r w:rsidRPr="009520E2">
        <w:rPr>
          <w:rStyle w:val="Hyperlink"/>
          <w:rFonts w:cs="Arial"/>
          <w:color w:val="auto"/>
        </w:rPr>
        <w:t>DIIR – Deutsches Institut für Interne Revision e.V.</w:t>
      </w:r>
      <w:r w:rsidR="0038794E">
        <w:rPr>
          <w:rStyle w:val="Hyperlink"/>
          <w:rFonts w:cs="Arial"/>
          <w:color w:val="auto"/>
        </w:rPr>
        <w:br/>
      </w:r>
      <w:r w:rsidRPr="009520E2">
        <w:rPr>
          <w:rStyle w:val="Hyperlink"/>
          <w:rFonts w:cs="Arial"/>
          <w:color w:val="auto"/>
        </w:rPr>
        <w:t>Th</w:t>
      </w:r>
      <w:r>
        <w:rPr>
          <w:rStyle w:val="Hyperlink"/>
          <w:rFonts w:cs="Arial"/>
          <w:color w:val="auto"/>
        </w:rPr>
        <w:t>eodor-Heuss-Allee 108</w:t>
      </w:r>
      <w:r w:rsidR="0038794E">
        <w:rPr>
          <w:rStyle w:val="Hyperlink"/>
          <w:rFonts w:cs="Arial"/>
          <w:color w:val="auto"/>
        </w:rPr>
        <w:br/>
      </w:r>
      <w:r>
        <w:rPr>
          <w:rStyle w:val="Hyperlink"/>
          <w:rFonts w:cs="Arial"/>
          <w:color w:val="auto"/>
        </w:rPr>
        <w:t>60486 Frankfurt am Main</w:t>
      </w:r>
    </w:p>
    <w:sectPr w:rsidR="00A435EE" w:rsidRPr="00201374" w:rsidSect="004D3781">
      <w:pgSz w:w="16817" w:h="11901" w:orient="landscape"/>
      <w:pgMar w:top="1135" w:right="1701" w:bottom="1701" w:left="1701" w:header="851"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03BE0" w14:textId="77777777" w:rsidR="00C84982" w:rsidRDefault="00C84982" w:rsidP="005F3B91">
      <w:r>
        <w:separator/>
      </w:r>
    </w:p>
    <w:p w14:paraId="6315D305" w14:textId="77777777" w:rsidR="00C84982" w:rsidRDefault="00C84982"/>
    <w:p w14:paraId="574D4E11" w14:textId="77777777" w:rsidR="00C84982" w:rsidRDefault="00C84982"/>
    <w:p w14:paraId="4BB8C78E" w14:textId="77777777" w:rsidR="00C84982" w:rsidRDefault="00C84982"/>
    <w:p w14:paraId="0ACC6336" w14:textId="77777777" w:rsidR="00C84982" w:rsidRDefault="00C84982"/>
  </w:endnote>
  <w:endnote w:type="continuationSeparator" w:id="0">
    <w:p w14:paraId="46E046E7" w14:textId="77777777" w:rsidR="00C84982" w:rsidRDefault="00C84982" w:rsidP="005F3B91">
      <w:r>
        <w:continuationSeparator/>
      </w:r>
    </w:p>
    <w:p w14:paraId="250CF8CA" w14:textId="77777777" w:rsidR="00C84982" w:rsidRDefault="00C84982"/>
    <w:p w14:paraId="7DB1344C" w14:textId="77777777" w:rsidR="00C84982" w:rsidRDefault="00C84982"/>
    <w:p w14:paraId="12303C6D" w14:textId="77777777" w:rsidR="00C84982" w:rsidRDefault="00C84982"/>
    <w:p w14:paraId="5F8ADBF7" w14:textId="77777777" w:rsidR="00C84982" w:rsidRDefault="00C849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FA80" w14:textId="77777777" w:rsidR="00B8504C" w:rsidRDefault="00B8504C" w:rsidP="00F660C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F8C1B0" w14:textId="77777777" w:rsidR="00B8504C" w:rsidRDefault="00B8504C" w:rsidP="00F660CB">
    <w:pPr>
      <w:pStyle w:val="Fuzeile"/>
      <w:ind w:right="360" w:firstLine="360"/>
    </w:pPr>
  </w:p>
  <w:p w14:paraId="2C2B57D4" w14:textId="77777777" w:rsidR="00B8504C" w:rsidRDefault="00B8504C"/>
  <w:p w14:paraId="15D52028" w14:textId="77777777" w:rsidR="00B8504C" w:rsidRDefault="00B8504C"/>
  <w:p w14:paraId="2C3F6497" w14:textId="77777777" w:rsidR="00B8504C" w:rsidRDefault="00B8504C"/>
  <w:p w14:paraId="1702C854" w14:textId="77777777" w:rsidR="00B8504C" w:rsidRDefault="00B850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17EE" w14:textId="77777777" w:rsidR="00B8504C" w:rsidRDefault="00B8504C" w:rsidP="00577D8C">
    <w:pPr>
      <w:pStyle w:val="Fuzeile"/>
      <w:framePr w:wrap="around" w:vAnchor="text" w:hAnchor="page" w:x="2557" w:y="271"/>
      <w:rPr>
        <w:rStyle w:val="Seitenzahl"/>
      </w:rPr>
    </w:pPr>
    <w:r>
      <w:rPr>
        <w:rStyle w:val="Seitenzahl"/>
      </w:rPr>
      <w:fldChar w:fldCharType="begin"/>
    </w:r>
    <w:r>
      <w:rPr>
        <w:rStyle w:val="Seitenzahl"/>
      </w:rPr>
      <w:instrText xml:space="preserve">PAGE  </w:instrText>
    </w:r>
    <w:r>
      <w:rPr>
        <w:rStyle w:val="Seitenzahl"/>
      </w:rPr>
      <w:fldChar w:fldCharType="separate"/>
    </w:r>
    <w:r w:rsidR="002A5D4D">
      <w:rPr>
        <w:rStyle w:val="Seitenzahl"/>
        <w:noProof/>
      </w:rPr>
      <w:t>2</w:t>
    </w:r>
    <w:r>
      <w:rPr>
        <w:rStyle w:val="Seitenzahl"/>
      </w:rPr>
      <w:fldChar w:fldCharType="end"/>
    </w:r>
  </w:p>
  <w:p w14:paraId="1715B3D8" w14:textId="77777777" w:rsidR="00B8504C" w:rsidRDefault="00B8504C" w:rsidP="00D2537B">
    <w:pPr>
      <w:pStyle w:val="Fuzeile"/>
      <w:tabs>
        <w:tab w:val="clear" w:pos="170"/>
        <w:tab w:val="clear" w:pos="255"/>
        <w:tab w:val="clear" w:pos="340"/>
        <w:tab w:val="right" w:pos="7655"/>
      </w:tabs>
      <w:spacing w:before="270"/>
    </w:pPr>
    <w:r>
      <w:rPr>
        <w:noProof/>
      </w:rPr>
      <mc:AlternateContent>
        <mc:Choice Requires="wps">
          <w:drawing>
            <wp:anchor distT="0" distB="0" distL="114299" distR="114299" simplePos="0" relativeHeight="251665407" behindDoc="0" locked="0" layoutInCell="1" allowOverlap="1" wp14:anchorId="0FA00A81" wp14:editId="09BFA58C">
              <wp:simplePos x="0" y="0"/>
              <wp:positionH relativeFrom="column">
                <wp:posOffset>-53341</wp:posOffset>
              </wp:positionH>
              <wp:positionV relativeFrom="paragraph">
                <wp:posOffset>-35560</wp:posOffset>
              </wp:positionV>
              <wp:extent cx="0" cy="269875"/>
              <wp:effectExtent l="0" t="0" r="25400" b="34925"/>
              <wp:wrapNone/>
              <wp:docPr id="2" name="Gerade Verbindu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9875"/>
                      </a:xfrm>
                      <a:prstGeom prst="line">
                        <a:avLst/>
                      </a:prstGeom>
                      <a:ln w="12700" cmpd="sng">
                        <a:solidFill>
                          <a:srgbClr val="FF66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60D7F79E" id="Gerade Verbindung 2" o:spid="_x0000_s1026" style="position:absolute;z-index:251665407;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2pt,-2.8pt" to="-4.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" strokecolor="#f60" strokeweight="1pt">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9259A" w14:textId="77777777" w:rsidR="00C84982" w:rsidRDefault="00C84982">
      <w:r>
        <w:separator/>
      </w:r>
    </w:p>
    <w:p w14:paraId="02E46861" w14:textId="77777777" w:rsidR="00C84982" w:rsidRDefault="00C84982"/>
  </w:footnote>
  <w:footnote w:type="continuationSeparator" w:id="0">
    <w:p w14:paraId="7D494FB2" w14:textId="77777777" w:rsidR="00C84982" w:rsidRDefault="00C84982" w:rsidP="005F3B91">
      <w:r>
        <w:continuationSeparator/>
      </w:r>
    </w:p>
    <w:p w14:paraId="00834E7D" w14:textId="77777777" w:rsidR="00C84982" w:rsidRDefault="00C84982"/>
    <w:p w14:paraId="4866B766" w14:textId="77777777" w:rsidR="00C84982" w:rsidRDefault="00C84982"/>
    <w:p w14:paraId="2796A16B" w14:textId="77777777" w:rsidR="00C84982" w:rsidRDefault="00C84982"/>
    <w:p w14:paraId="58BB513F" w14:textId="77777777" w:rsidR="00C84982" w:rsidRDefault="00C84982"/>
  </w:footnote>
  <w:footnote w:id="1">
    <w:p w14:paraId="580FE320" w14:textId="3AF7EED6" w:rsidR="005D70ED" w:rsidRPr="005D70ED" w:rsidRDefault="00263ED5" w:rsidP="00263ED5">
      <w:pPr>
        <w:pStyle w:val="Kopfzeile"/>
        <w:jc w:val="left"/>
        <w:rPr>
          <w:lang w:val="en-US"/>
        </w:rPr>
      </w:pPr>
      <w:r w:rsidRPr="00263ED5">
        <w:rPr>
          <w:vertAlign w:val="superscript"/>
        </w:rPr>
        <w:t>1</w:t>
      </w:r>
      <w:r w:rsidR="008B1C27">
        <w:rPr>
          <w:vertAlign w:val="superscript"/>
        </w:rPr>
        <w:t xml:space="preserve"> </w:t>
      </w:r>
      <w:r w:rsidR="00A34D14">
        <w:rPr>
          <w:vertAlign w:val="superscript"/>
        </w:rPr>
        <w:tab/>
      </w:r>
      <w:r w:rsidR="00A34D14">
        <w:rPr>
          <w:vertAlign w:val="superscript"/>
        </w:rPr>
        <w:tab/>
      </w:r>
      <w:hyperlink r:id="rId1" w:history="1">
        <w:r w:rsidRPr="008B1C27">
          <w:rPr>
            <w:rStyle w:val="Hyperlink"/>
          </w:rPr>
          <w:t>https://</w:t>
        </w:r>
        <w:r w:rsidRPr="008B1C27">
          <w:rPr>
            <w:rStyle w:val="Hyperlink"/>
            <w:lang w:val="en-US"/>
          </w:rPr>
          <w:t>eur-lex.europa.eu/legal-content/DE/TXT/PDF/?uri=CELEX:32018R038</w:t>
        </w:r>
        <w:r w:rsidR="008B1C27" w:rsidRPr="008B1C27">
          <w:rPr>
            <w:rStyle w:val="Hyperlink"/>
          </w:rPr>
          <w:t>9</w:t>
        </w:r>
      </w:hyperlink>
      <w:r w:rsidR="008B1C27">
        <w:t xml:space="preserve"> (Stand: 15.9.2026).</w:t>
      </w:r>
      <w:r w:rsidR="00A34D14">
        <w:t xml:space="preserve"> </w:t>
      </w:r>
    </w:p>
  </w:footnote>
  <w:footnote w:id="2">
    <w:p w14:paraId="01818800" w14:textId="47472FE4" w:rsidR="00C1515E" w:rsidRPr="008B1C27" w:rsidRDefault="00C1515E">
      <w:pPr>
        <w:rPr>
          <w:sz w:val="15"/>
          <w:szCs w:val="15"/>
        </w:rPr>
      </w:pPr>
      <w:r w:rsidRPr="008B1C27">
        <w:rPr>
          <w:rStyle w:val="Funotenzeichen"/>
          <w:sz w:val="15"/>
          <w:szCs w:val="15"/>
        </w:rPr>
        <w:footnoteRef/>
      </w:r>
      <w:r w:rsidRPr="008B1C27">
        <w:rPr>
          <w:sz w:val="15"/>
          <w:szCs w:val="15"/>
        </w:rPr>
        <w:t xml:space="preserve"> Begriffsbestimmungen zu „Wissen“, „Besitz“ und „Inhärenz“ s. Erwägungsgründe Abs. 6</w:t>
      </w:r>
      <w:r w:rsidR="008B1C27">
        <w:rPr>
          <w:sz w:val="15"/>
          <w:szCs w:val="15"/>
        </w:rPr>
        <w:t>.</w:t>
      </w:r>
    </w:p>
  </w:footnote>
  <w:footnote w:id="3">
    <w:p w14:paraId="42DD7FAE" w14:textId="20640D27" w:rsidR="00C1515E" w:rsidRDefault="00C1515E">
      <w:pPr>
        <w:pStyle w:val="Funotentext"/>
      </w:pPr>
      <w:r>
        <w:rPr>
          <w:rStyle w:val="Funotenzeichen"/>
        </w:rPr>
        <w:footnoteRef/>
      </w:r>
      <w:r>
        <w:t xml:space="preserve"> </w:t>
      </w:r>
      <w:hyperlink r:id="rId2" w:history="1">
        <w:r w:rsidRPr="00725CF9">
          <w:rPr>
            <w:rStyle w:val="Hyperlink"/>
            <w:rFonts w:eastAsiaTheme="majorEastAsia"/>
          </w:rPr>
          <w:t>https://www.bafin.de/SharedDocs/Veroeffentlichungen/DE/Fachartikel/2018/fa_bj_1806_Starke_Kundenauthentifizierung.html</w:t>
        </w:r>
      </w:hyperlink>
      <w:r w:rsidR="008B1C27">
        <w:t xml:space="preserve"> (Stand: 15.9.2026).</w:t>
      </w:r>
    </w:p>
    <w:p w14:paraId="46780C14" w14:textId="77777777" w:rsidR="00C1515E" w:rsidRDefault="00C1515E">
      <w:pPr>
        <w:pStyle w:val="Funotentext"/>
      </w:pPr>
    </w:p>
  </w:footnote>
  <w:footnote w:id="4">
    <w:p w14:paraId="638E7881" w14:textId="771E16B8" w:rsidR="0088418E" w:rsidRDefault="0088418E">
      <w:pPr>
        <w:pStyle w:val="Funotentext"/>
      </w:pPr>
      <w:r>
        <w:rPr>
          <w:rStyle w:val="Funotenzeichen"/>
        </w:rPr>
        <w:footnoteRef/>
      </w:r>
      <w:r>
        <w:t xml:space="preserve"> </w:t>
      </w:r>
      <w:hyperlink r:id="rId3" w:history="1">
        <w:r>
          <w:rPr>
            <w:rStyle w:val="Hyperlink"/>
            <w:rFonts w:eastAsiaTheme="majorEastAsia"/>
          </w:rPr>
          <w:t>https://www.eba.europa.eu/sites/default/files/document_library/Publications/Draft%20Technical%20Standards/2022/EBA-RTS-2022-03%20RTS%20on%20SCA%26CSC/1029858/Final%20Report%20on%20the%20amendment%20of%20the%20RTS%20on%20SCA%26CSC.pdf</w:t>
        </w:r>
      </w:hyperlink>
      <w:r>
        <w:t>, S. 3</w:t>
      </w:r>
      <w:r w:rsidR="00D41CB8">
        <w:t xml:space="preserve"> (Stand: 15.9.2026).</w:t>
      </w:r>
    </w:p>
  </w:footnote>
  <w:footnote w:id="5">
    <w:p w14:paraId="3747E722" w14:textId="2E018537" w:rsidR="0088418E" w:rsidRDefault="0088418E">
      <w:pPr>
        <w:pStyle w:val="Funotentext"/>
      </w:pPr>
      <w:r>
        <w:rPr>
          <w:rStyle w:val="Funotenzeichen"/>
        </w:rPr>
        <w:footnoteRef/>
      </w:r>
      <w:r>
        <w:t xml:space="preserve"> </w:t>
      </w:r>
      <w:hyperlink r:id="rId4" w:history="1">
        <w:r w:rsidRPr="00725CF9">
          <w:rPr>
            <w:rStyle w:val="Hyperlink"/>
            <w:rFonts w:eastAsiaTheme="majorEastAsia"/>
          </w:rPr>
          <w:t>https://www.eba.europa.eu/sites/default/files/document_library/Publications/Draft%20Technical%20Standards/2022/EBA-RTS-2022-03%20RTS%20on%20SCA%26CSC/1029858/Final%20Report%20on%20the%20amendment%20of%20the%20RTS%20on%20SCA%26CSC.pdf</w:t>
        </w:r>
      </w:hyperlink>
      <w:r w:rsidR="00D41CB8">
        <w:t xml:space="preserve">  (Stand: 15.9.2026).</w:t>
      </w:r>
    </w:p>
    <w:p w14:paraId="5C7AC5F6" w14:textId="77777777" w:rsidR="0088418E" w:rsidRDefault="0088418E">
      <w:pPr>
        <w:pStyle w:val="Funotentext"/>
      </w:pPr>
    </w:p>
  </w:footnote>
  <w:footnote w:id="6">
    <w:p w14:paraId="518226C5" w14:textId="0B6054BE" w:rsidR="00CC665E" w:rsidRDefault="00CC665E">
      <w:pPr>
        <w:pStyle w:val="Funotentext"/>
      </w:pPr>
      <w:r>
        <w:rPr>
          <w:rStyle w:val="Funotenzeichen"/>
        </w:rPr>
        <w:footnoteRef/>
      </w:r>
      <w:r>
        <w:t xml:space="preserve"> Beim Redirect-Ansatz wird der Kunde (PaymentServiceUser- PSU) für die starke Authentifizierung auf die Bankseite umgeleitet.</w:t>
      </w:r>
    </w:p>
  </w:footnote>
  <w:footnote w:id="7">
    <w:p w14:paraId="09163367" w14:textId="77777777" w:rsidR="00CC665E" w:rsidRDefault="00CC665E">
      <w:pPr>
        <w:pStyle w:val="Funotentext"/>
      </w:pPr>
      <w:r>
        <w:rPr>
          <w:rStyle w:val="Funotenzeichen"/>
        </w:rPr>
        <w:footnoteRef/>
      </w:r>
      <w:r>
        <w:t xml:space="preserve"> Beim Embedded-Ansatz stellt die Bank für die starke Kundenauthentifizierung ein eingebettetes Modul bereit, das direkt in die Oberfläche des Drittanbieters integriert wird. </w:t>
      </w:r>
    </w:p>
  </w:footnote>
  <w:footnote w:id="8">
    <w:p w14:paraId="33BEB61C" w14:textId="77777777" w:rsidR="00CC665E" w:rsidRDefault="00CC665E">
      <w:pPr>
        <w:pStyle w:val="Funotentext"/>
      </w:pPr>
      <w:r>
        <w:rPr>
          <w:rStyle w:val="Funotenzeichen"/>
        </w:rPr>
        <w:footnoteRef/>
      </w:r>
      <w:r>
        <w:t xml:space="preserve"> Beim Decoupled-Ansatz erfolgt die starke Authentifizierung über einen separaten Kanal (z. B. die Banking-App).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70A7" w14:textId="77777777" w:rsidR="00B8504C" w:rsidRDefault="00B8504C" w:rsidP="00BE52B9">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2197BBBE" w14:textId="77777777" w:rsidR="00B8504C" w:rsidRDefault="00B8504C" w:rsidP="00BE52B9">
    <w:pPr>
      <w:pStyle w:val="Kopfzeile"/>
      <w:ind w:firstLine="360"/>
    </w:pPr>
  </w:p>
  <w:p w14:paraId="550A3247" w14:textId="77777777" w:rsidR="00B8504C" w:rsidRDefault="00B8504C"/>
  <w:p w14:paraId="0337A7DC" w14:textId="77777777" w:rsidR="00B8504C" w:rsidRDefault="00B8504C"/>
  <w:p w14:paraId="092F6324" w14:textId="77777777" w:rsidR="00B8504C" w:rsidRDefault="00B8504C"/>
  <w:p w14:paraId="79FB02BE" w14:textId="77777777" w:rsidR="00B8504C" w:rsidRDefault="00B850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5B24E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7C21A7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180705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BACBDC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682528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25AA25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A566B4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CC2221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892D27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64AE4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E3A25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404D29"/>
    <w:multiLevelType w:val="hybridMultilevel"/>
    <w:tmpl w:val="CEEA6FB0"/>
    <w:lvl w:ilvl="0" w:tplc="04070001">
      <w:start w:val="1"/>
      <w:numFmt w:val="bullet"/>
      <w:lvlText w:val=""/>
      <w:lvlJc w:val="left"/>
      <w:pPr>
        <w:ind w:left="719" w:hanging="360"/>
      </w:pPr>
      <w:rPr>
        <w:rFonts w:ascii="Symbol" w:hAnsi="Symbol" w:hint="default"/>
      </w:rPr>
    </w:lvl>
    <w:lvl w:ilvl="1" w:tplc="04070003" w:tentative="1">
      <w:start w:val="1"/>
      <w:numFmt w:val="bullet"/>
      <w:lvlText w:val="o"/>
      <w:lvlJc w:val="left"/>
      <w:pPr>
        <w:ind w:left="1439" w:hanging="360"/>
      </w:pPr>
      <w:rPr>
        <w:rFonts w:ascii="Courier New" w:hAnsi="Courier New" w:cs="Courier New" w:hint="default"/>
      </w:rPr>
    </w:lvl>
    <w:lvl w:ilvl="2" w:tplc="04070005" w:tentative="1">
      <w:start w:val="1"/>
      <w:numFmt w:val="bullet"/>
      <w:lvlText w:val=""/>
      <w:lvlJc w:val="left"/>
      <w:pPr>
        <w:ind w:left="2159" w:hanging="360"/>
      </w:pPr>
      <w:rPr>
        <w:rFonts w:ascii="Wingdings" w:hAnsi="Wingdings" w:hint="default"/>
      </w:rPr>
    </w:lvl>
    <w:lvl w:ilvl="3" w:tplc="04070001" w:tentative="1">
      <w:start w:val="1"/>
      <w:numFmt w:val="bullet"/>
      <w:lvlText w:val=""/>
      <w:lvlJc w:val="left"/>
      <w:pPr>
        <w:ind w:left="2879" w:hanging="360"/>
      </w:pPr>
      <w:rPr>
        <w:rFonts w:ascii="Symbol" w:hAnsi="Symbol" w:hint="default"/>
      </w:rPr>
    </w:lvl>
    <w:lvl w:ilvl="4" w:tplc="04070003" w:tentative="1">
      <w:start w:val="1"/>
      <w:numFmt w:val="bullet"/>
      <w:lvlText w:val="o"/>
      <w:lvlJc w:val="left"/>
      <w:pPr>
        <w:ind w:left="3599" w:hanging="360"/>
      </w:pPr>
      <w:rPr>
        <w:rFonts w:ascii="Courier New" w:hAnsi="Courier New" w:cs="Courier New" w:hint="default"/>
      </w:rPr>
    </w:lvl>
    <w:lvl w:ilvl="5" w:tplc="04070005" w:tentative="1">
      <w:start w:val="1"/>
      <w:numFmt w:val="bullet"/>
      <w:lvlText w:val=""/>
      <w:lvlJc w:val="left"/>
      <w:pPr>
        <w:ind w:left="4319" w:hanging="360"/>
      </w:pPr>
      <w:rPr>
        <w:rFonts w:ascii="Wingdings" w:hAnsi="Wingdings" w:hint="default"/>
      </w:rPr>
    </w:lvl>
    <w:lvl w:ilvl="6" w:tplc="04070001" w:tentative="1">
      <w:start w:val="1"/>
      <w:numFmt w:val="bullet"/>
      <w:lvlText w:val=""/>
      <w:lvlJc w:val="left"/>
      <w:pPr>
        <w:ind w:left="5039" w:hanging="360"/>
      </w:pPr>
      <w:rPr>
        <w:rFonts w:ascii="Symbol" w:hAnsi="Symbol" w:hint="default"/>
      </w:rPr>
    </w:lvl>
    <w:lvl w:ilvl="7" w:tplc="04070003" w:tentative="1">
      <w:start w:val="1"/>
      <w:numFmt w:val="bullet"/>
      <w:lvlText w:val="o"/>
      <w:lvlJc w:val="left"/>
      <w:pPr>
        <w:ind w:left="5759" w:hanging="360"/>
      </w:pPr>
      <w:rPr>
        <w:rFonts w:ascii="Courier New" w:hAnsi="Courier New" w:cs="Courier New" w:hint="default"/>
      </w:rPr>
    </w:lvl>
    <w:lvl w:ilvl="8" w:tplc="04070005" w:tentative="1">
      <w:start w:val="1"/>
      <w:numFmt w:val="bullet"/>
      <w:lvlText w:val=""/>
      <w:lvlJc w:val="left"/>
      <w:pPr>
        <w:ind w:left="6479" w:hanging="360"/>
      </w:pPr>
      <w:rPr>
        <w:rFonts w:ascii="Wingdings" w:hAnsi="Wingdings" w:hint="default"/>
      </w:rPr>
    </w:lvl>
  </w:abstractNum>
  <w:abstractNum w:abstractNumId="12" w15:restartNumberingAfterBreak="0">
    <w:nsid w:val="06F21249"/>
    <w:multiLevelType w:val="hybridMultilevel"/>
    <w:tmpl w:val="DD1CF4F0"/>
    <w:lvl w:ilvl="0" w:tplc="2C02D356">
      <w:start w:val="1"/>
      <w:numFmt w:val="bullet"/>
      <w:pStyle w:val="Absatzpunkt3EbeneText"/>
      <w:lvlText w:val=""/>
      <w:lvlJc w:val="left"/>
      <w:pPr>
        <w:ind w:left="1276" w:hanging="425"/>
      </w:pPr>
      <w:rPr>
        <w:rFonts w:ascii="Wingdings" w:hAnsi="Wingdings" w:hint="default"/>
        <w:b w:val="0"/>
        <w:bCs w:val="0"/>
        <w:i w:val="0"/>
        <w:iCs w:val="0"/>
        <w:caps w:val="0"/>
        <w:strike w:val="0"/>
        <w:dstrike w:val="0"/>
        <w:vanish w:val="0"/>
        <w:color w:val="CECFCD"/>
        <w:sz w:val="19"/>
        <w:szCs w:val="19"/>
        <w:vertAlign w:val="baseli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7951B1C"/>
    <w:multiLevelType w:val="multilevel"/>
    <w:tmpl w:val="67046C20"/>
    <w:lvl w:ilvl="0">
      <w:start w:val="1"/>
      <w:numFmt w:val="upperRoman"/>
      <w:lvlText w:val="%1."/>
      <w:lvlJc w:val="left"/>
      <w:pPr>
        <w:ind w:left="425" w:hanging="425"/>
      </w:pPr>
      <w:rPr>
        <w:rFonts w:ascii="Arial" w:hAnsi="Arial" w:hint="default"/>
        <w:b/>
        <w:bCs/>
        <w:i w:val="0"/>
        <w:iCs w:val="0"/>
        <w:caps w:val="0"/>
        <w:strike w:val="0"/>
        <w:dstrike w:val="0"/>
        <w:vanish w:val="0"/>
        <w:color w:val="272727"/>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rFonts w:ascii="Arial" w:hAnsi="Arial" w:hint="default"/>
        <w:b w:val="0"/>
        <w:bCs w:val="0"/>
        <w:i w:val="0"/>
        <w:iCs w:val="0"/>
        <w:caps w:val="0"/>
        <w:strike w:val="0"/>
        <w:dstrike w:val="0"/>
        <w:vanish w:val="0"/>
        <w:color w:val="272727"/>
        <w:sz w:val="19"/>
        <w:szCs w:val="19"/>
        <w:vertAlign w:val="baseline"/>
      </w:rPr>
    </w:lvl>
    <w:lvl w:ilvl="2">
      <w:start w:val="1"/>
      <w:numFmt w:val="none"/>
      <w:lvlText w:val="%3."/>
      <w:lvlJc w:val="right"/>
      <w:pPr>
        <w:tabs>
          <w:tab w:val="num" w:pos="0"/>
        </w:tabs>
        <w:ind w:left="0" w:firstLine="0"/>
      </w:pPr>
      <w:rPr>
        <w:rFonts w:hint="default"/>
      </w:rPr>
    </w:lvl>
    <w:lvl w:ilvl="3">
      <w:start w:val="1"/>
      <w:numFmt w:val="none"/>
      <w:lvlText w:val="%4."/>
      <w:lvlJc w:val="left"/>
      <w:pPr>
        <w:tabs>
          <w:tab w:val="num" w:pos="0"/>
        </w:tabs>
        <w:ind w:left="0" w:firstLine="0"/>
      </w:pPr>
      <w:rPr>
        <w:rFonts w:hint="default"/>
      </w:rPr>
    </w:lvl>
    <w:lvl w:ilvl="4">
      <w:start w:val="1"/>
      <w:numFmt w:val="none"/>
      <w:lvlText w:val="%5."/>
      <w:lvlJc w:val="left"/>
      <w:pPr>
        <w:tabs>
          <w:tab w:val="num" w:pos="0"/>
        </w:tabs>
        <w:ind w:left="0" w:firstLine="0"/>
      </w:pPr>
      <w:rPr>
        <w:rFonts w:hint="default"/>
      </w:rPr>
    </w:lvl>
    <w:lvl w:ilvl="5">
      <w:start w:val="1"/>
      <w:numFmt w:val="none"/>
      <w:lvlText w:val="%6."/>
      <w:lvlJc w:val="right"/>
      <w:pPr>
        <w:tabs>
          <w:tab w:val="num" w:pos="0"/>
        </w:tabs>
        <w:ind w:left="0" w:firstLine="0"/>
      </w:pPr>
      <w:rPr>
        <w:rFonts w:hint="default"/>
      </w:rPr>
    </w:lvl>
    <w:lvl w:ilvl="6">
      <w:start w:val="1"/>
      <w:numFmt w:val="none"/>
      <w:lvlText w:val=""/>
      <w:lvlJc w:val="left"/>
      <w:pPr>
        <w:tabs>
          <w:tab w:val="num" w:pos="0"/>
        </w:tabs>
        <w:ind w:left="0" w:firstLine="0"/>
      </w:pPr>
      <w:rPr>
        <w:rFonts w:ascii="Arial" w:hAnsi="Arial" w:hint="default"/>
        <w:b/>
        <w:bCs/>
        <w:i w:val="0"/>
        <w:iCs w:val="0"/>
        <w:caps w:val="0"/>
        <w:strike w:val="0"/>
        <w:dstrike w:val="0"/>
        <w:vanish w:val="0"/>
        <w:color w:val="272727"/>
        <w:sz w:val="19"/>
        <w:szCs w:val="19"/>
        <w:u w:val="none"/>
        <w:vertAlign w:val="baseline"/>
      </w:rPr>
    </w:lvl>
    <w:lvl w:ilvl="7">
      <w:start w:val="1"/>
      <w:numFmt w:val="none"/>
      <w:lvlText w:val="%8."/>
      <w:lvlJc w:val="left"/>
      <w:pPr>
        <w:tabs>
          <w:tab w:val="num" w:pos="0"/>
        </w:tabs>
        <w:ind w:left="0" w:firstLine="0"/>
      </w:pPr>
      <w:rPr>
        <w:rFonts w:hint="default"/>
      </w:rPr>
    </w:lvl>
    <w:lvl w:ilvl="8">
      <w:start w:val="1"/>
      <w:numFmt w:val="none"/>
      <w:lvlText w:val="%7%9"/>
      <w:lvlJc w:val="left"/>
      <w:pPr>
        <w:tabs>
          <w:tab w:val="num" w:pos="0"/>
        </w:tabs>
        <w:ind w:left="0" w:firstLine="0"/>
      </w:pPr>
      <w:rPr>
        <w:rFonts w:ascii="Arial" w:hAnsi="Arial" w:hint="default"/>
        <w:b/>
        <w:bCs/>
        <w:i w:val="0"/>
        <w:iCs w:val="0"/>
        <w:caps w:val="0"/>
        <w:strike w:val="0"/>
        <w:dstrike w:val="0"/>
        <w:vanish w:val="0"/>
        <w:color w:val="272727"/>
        <w:sz w:val="19"/>
        <w:szCs w:val="19"/>
        <w:u w:val="none"/>
        <w:vertAlign w:val="baseline"/>
      </w:rPr>
    </w:lvl>
  </w:abstractNum>
  <w:abstractNum w:abstractNumId="14" w15:restartNumberingAfterBreak="0">
    <w:nsid w:val="0E6D2905"/>
    <w:multiLevelType w:val="multilevel"/>
    <w:tmpl w:val="F36C0574"/>
    <w:lvl w:ilvl="0">
      <w:start w:val="1"/>
      <w:numFmt w:val="decimal"/>
      <w:lvlText w:val="%1"/>
      <w:lvlJc w:val="left"/>
      <w:pPr>
        <w:tabs>
          <w:tab w:val="num" w:pos="851"/>
        </w:tabs>
        <w:ind w:left="851" w:hanging="851"/>
      </w:pPr>
      <w:rPr>
        <w:rFonts w:ascii="Arial" w:hAnsi="Arial" w:hint="default"/>
        <w:b w:val="0"/>
        <w:bCs w:val="0"/>
        <w:i w:val="0"/>
        <w:iCs w:val="0"/>
        <w:caps w:val="0"/>
        <w:strike w:val="0"/>
        <w:dstrike w:val="0"/>
        <w:vanish w:val="0"/>
        <w:color w:val="DF6421"/>
        <w:spacing w:val="0"/>
        <w:kern w:val="0"/>
        <w:position w:val="0"/>
        <w:sz w:val="25"/>
        <w:szCs w:val="25"/>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val="0"/>
        <w:bCs w:val="0"/>
        <w:i w:val="0"/>
        <w:iCs w:val="0"/>
        <w:caps w:val="0"/>
        <w:strike w:val="0"/>
        <w:dstrike w:val="0"/>
        <w:vanish w:val="0"/>
        <w:color w:val="DF6421"/>
        <w:sz w:val="23"/>
        <w:szCs w:val="23"/>
        <w:u w:val="none"/>
        <w:vertAlign w:val="baseline"/>
      </w:rPr>
    </w:lvl>
    <w:lvl w:ilvl="2">
      <w:start w:val="1"/>
      <w:numFmt w:val="decimal"/>
      <w:lvlText w:val="%1.%2.%3"/>
      <w:lvlJc w:val="left"/>
      <w:pPr>
        <w:tabs>
          <w:tab w:val="num" w:pos="851"/>
        </w:tabs>
        <w:ind w:left="851" w:hanging="851"/>
      </w:pPr>
      <w:rPr>
        <w:rFonts w:ascii="Arial" w:hAnsi="Arial" w:hint="default"/>
        <w:b w:val="0"/>
        <w:bCs w:val="0"/>
        <w:i w:val="0"/>
        <w:iCs w:val="0"/>
        <w:caps w:val="0"/>
        <w:strike w:val="0"/>
        <w:dstrike w:val="0"/>
        <w:vanish w:val="0"/>
        <w:color w:val="DF6421"/>
        <w:sz w:val="21"/>
        <w:szCs w:val="21"/>
        <w:u w:val="none"/>
        <w:vertAlign w:val="baseline"/>
      </w:rPr>
    </w:lvl>
    <w:lvl w:ilvl="3">
      <w:start w:val="1"/>
      <w:numFmt w:val="decimal"/>
      <w:lvlText w:val="%1.%2.%3.%4"/>
      <w:lvlJc w:val="left"/>
      <w:pPr>
        <w:tabs>
          <w:tab w:val="num" w:pos="851"/>
        </w:tabs>
        <w:ind w:left="851" w:hanging="851"/>
      </w:pPr>
      <w:rPr>
        <w:rFonts w:ascii="Arial" w:hAnsi="Arial" w:hint="default"/>
        <w:b w:val="0"/>
        <w:bCs w:val="0"/>
        <w:i w:val="0"/>
        <w:iCs w:val="0"/>
        <w:caps w:val="0"/>
        <w:strike w:val="0"/>
        <w:dstrike w:val="0"/>
        <w:vanish w:val="0"/>
        <w:color w:val="DF6421"/>
        <w:sz w:val="19"/>
        <w:szCs w:val="19"/>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ordinal"/>
      <w:lvlText w:val="%7"/>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7">
      <w:start w:val="1"/>
      <w:numFmt w:val="ordinal"/>
      <w:lvlText w:val="%7%8"/>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8">
      <w:start w:val="1"/>
      <w:numFmt w:val="ordinal"/>
      <w:lvlText w:val="%7%8%9"/>
      <w:lvlJc w:val="left"/>
      <w:pPr>
        <w:tabs>
          <w:tab w:val="num" w:pos="851"/>
        </w:tabs>
        <w:ind w:left="851" w:hanging="851"/>
      </w:pPr>
      <w:rPr>
        <w:rFonts w:ascii="Arial" w:hAnsi="Arial" w:hint="default"/>
        <w:b/>
        <w:bCs/>
        <w:i w:val="0"/>
        <w:iCs w:val="0"/>
        <w:caps w:val="0"/>
        <w:strike w:val="0"/>
        <w:dstrike w:val="0"/>
        <w:vanish w:val="0"/>
        <w:color w:val="636463"/>
        <w:sz w:val="19"/>
        <w:szCs w:val="19"/>
        <w:u w:val="none"/>
        <w:vertAlign w:val="baseline"/>
      </w:rPr>
    </w:lvl>
  </w:abstractNum>
  <w:abstractNum w:abstractNumId="15" w15:restartNumberingAfterBreak="0">
    <w:nsid w:val="13596C88"/>
    <w:multiLevelType w:val="multilevel"/>
    <w:tmpl w:val="CD98CAE0"/>
    <w:lvl w:ilvl="0">
      <w:start w:val="1"/>
      <w:numFmt w:val="bullet"/>
      <w:lvlText w:val=""/>
      <w:lvlJc w:val="left"/>
      <w:pPr>
        <w:tabs>
          <w:tab w:val="num" w:pos="1276"/>
        </w:tabs>
        <w:ind w:left="1276" w:hanging="425"/>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3D927E9"/>
    <w:multiLevelType w:val="hybridMultilevel"/>
    <w:tmpl w:val="317EF7FE"/>
    <w:lvl w:ilvl="0" w:tplc="D3283276">
      <w:start w:val="1"/>
      <w:numFmt w:val="bullet"/>
      <w:pStyle w:val="Absatzpunkt2Ebeneberschrift"/>
      <w:lvlText w:val=""/>
      <w:lvlJc w:val="left"/>
      <w:pPr>
        <w:tabs>
          <w:tab w:val="num" w:pos="850"/>
        </w:tabs>
        <w:ind w:left="850" w:hanging="425"/>
      </w:pPr>
      <w:rPr>
        <w:rFonts w:ascii="Wingdings" w:hAnsi="Wingdings" w:hint="default"/>
        <w:caps w:val="0"/>
        <w:strike w:val="0"/>
        <w:dstrike w:val="0"/>
        <w:vanish w:val="0"/>
        <w:color w:val="828381"/>
        <w:vertAlign w:val="baseli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42B778B"/>
    <w:multiLevelType w:val="hybridMultilevel"/>
    <w:tmpl w:val="BE2C220A"/>
    <w:lvl w:ilvl="0" w:tplc="266C4828">
      <w:start w:val="1"/>
      <w:numFmt w:val="bullet"/>
      <w:pStyle w:val="Absatzpunkt1Ebeneberschrift"/>
      <w:lvlText w:val=""/>
      <w:lvlJc w:val="left"/>
      <w:pPr>
        <w:tabs>
          <w:tab w:val="num" w:pos="425"/>
        </w:tabs>
        <w:ind w:left="425" w:hanging="425"/>
      </w:pPr>
      <w:rPr>
        <w:rFonts w:ascii="Wingdings" w:hAnsi="Wingdings" w:hint="default"/>
        <w:caps w:val="0"/>
        <w:strike w:val="0"/>
        <w:dstrike w:val="0"/>
        <w:vanish w:val="0"/>
        <w:color w:val="474746"/>
        <w:vertAlign w:val="baseli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A5307DB"/>
    <w:multiLevelType w:val="multilevel"/>
    <w:tmpl w:val="3682AC3E"/>
    <w:lvl w:ilvl="0">
      <w:start w:val="1"/>
      <w:numFmt w:val="decimal"/>
      <w:lvlText w:val="%1"/>
      <w:lvlJc w:val="left"/>
      <w:pPr>
        <w:tabs>
          <w:tab w:val="num" w:pos="851"/>
        </w:tabs>
        <w:ind w:left="851" w:hanging="851"/>
      </w:pPr>
      <w:rPr>
        <w:rFonts w:ascii="Arial" w:hAnsi="Arial" w:hint="default"/>
        <w:b w:val="0"/>
        <w:bCs w:val="0"/>
        <w:i w:val="0"/>
        <w:iCs w:val="0"/>
        <w:caps w:val="0"/>
        <w:strike w:val="0"/>
        <w:dstrike w:val="0"/>
        <w:vanish w:val="0"/>
        <w:color w:val="DF6421"/>
        <w:spacing w:val="0"/>
        <w:kern w:val="0"/>
        <w:position w:val="0"/>
        <w:sz w:val="25"/>
        <w:szCs w:val="25"/>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val="0"/>
        <w:bCs w:val="0"/>
        <w:i w:val="0"/>
        <w:iCs w:val="0"/>
        <w:caps w:val="0"/>
        <w:strike w:val="0"/>
        <w:dstrike w:val="0"/>
        <w:vanish w:val="0"/>
        <w:color w:val="DF6421"/>
        <w:sz w:val="23"/>
        <w:szCs w:val="23"/>
        <w:u w:val="none"/>
        <w:vertAlign w:val="baseline"/>
      </w:rPr>
    </w:lvl>
    <w:lvl w:ilvl="2">
      <w:start w:val="1"/>
      <w:numFmt w:val="decimal"/>
      <w:lvlText w:val="%1.%2.%3"/>
      <w:lvlJc w:val="left"/>
      <w:pPr>
        <w:tabs>
          <w:tab w:val="num" w:pos="851"/>
        </w:tabs>
        <w:ind w:left="851" w:hanging="851"/>
      </w:pPr>
      <w:rPr>
        <w:rFonts w:ascii="Arial" w:hAnsi="Arial" w:hint="default"/>
        <w:b w:val="0"/>
        <w:bCs w:val="0"/>
        <w:i w:val="0"/>
        <w:iCs w:val="0"/>
        <w:caps w:val="0"/>
        <w:strike w:val="0"/>
        <w:dstrike w:val="0"/>
        <w:vanish w:val="0"/>
        <w:color w:val="DF6421"/>
        <w:sz w:val="21"/>
        <w:szCs w:val="21"/>
        <w:u w:val="none"/>
        <w:vertAlign w:val="baseline"/>
      </w:rPr>
    </w:lvl>
    <w:lvl w:ilvl="3">
      <w:start w:val="1"/>
      <w:numFmt w:val="decimal"/>
      <w:lvlText w:val="%1.%2.%3.%4"/>
      <w:lvlJc w:val="left"/>
      <w:pPr>
        <w:tabs>
          <w:tab w:val="num" w:pos="851"/>
        </w:tabs>
        <w:ind w:left="851" w:hanging="851"/>
      </w:pPr>
      <w:rPr>
        <w:rFonts w:ascii="Arial" w:hAnsi="Arial" w:hint="default"/>
        <w:b w:val="0"/>
        <w:bCs w:val="0"/>
        <w:i w:val="0"/>
        <w:iCs w:val="0"/>
        <w:caps w:val="0"/>
        <w:strike w:val="0"/>
        <w:dstrike w:val="0"/>
        <w:vanish w:val="0"/>
        <w:color w:val="DF6421"/>
        <w:sz w:val="19"/>
        <w:szCs w:val="19"/>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ordinal"/>
      <w:lvlText w:val="%7"/>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7">
      <w:start w:val="1"/>
      <w:numFmt w:val="ordinal"/>
      <w:lvlText w:val="%7%8"/>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8">
      <w:start w:val="1"/>
      <w:numFmt w:val="ordinal"/>
      <w:lvlText w:val="%7%8%9"/>
      <w:lvlJc w:val="left"/>
      <w:pPr>
        <w:tabs>
          <w:tab w:val="num" w:pos="851"/>
        </w:tabs>
        <w:ind w:left="851" w:hanging="851"/>
      </w:pPr>
      <w:rPr>
        <w:rFonts w:ascii="Arial" w:hAnsi="Arial" w:hint="default"/>
        <w:b/>
        <w:bCs/>
        <w:i w:val="0"/>
        <w:iCs w:val="0"/>
        <w:caps w:val="0"/>
        <w:strike w:val="0"/>
        <w:dstrike w:val="0"/>
        <w:vanish w:val="0"/>
        <w:color w:val="636463"/>
        <w:sz w:val="19"/>
        <w:szCs w:val="19"/>
        <w:u w:val="none"/>
        <w:vertAlign w:val="baseline"/>
      </w:rPr>
    </w:lvl>
  </w:abstractNum>
  <w:abstractNum w:abstractNumId="19" w15:restartNumberingAfterBreak="0">
    <w:nsid w:val="1AF60C78"/>
    <w:multiLevelType w:val="multilevel"/>
    <w:tmpl w:val="DA941AA2"/>
    <w:lvl w:ilvl="0">
      <w:start w:val="1"/>
      <w:numFmt w:val="bullet"/>
      <w:lvlText w:val=""/>
      <w:lvlJc w:val="left"/>
      <w:pPr>
        <w:tabs>
          <w:tab w:val="num" w:pos="1276"/>
        </w:tabs>
        <w:ind w:left="1276" w:hanging="425"/>
      </w:pPr>
      <w:rPr>
        <w:rFonts w:ascii="Wingdings" w:hAnsi="Wingdings" w:hint="default"/>
        <w:caps w:val="0"/>
        <w:strike w:val="0"/>
        <w:dstrike w:val="0"/>
        <w:vanish w:val="0"/>
        <w:color w:val="272727"/>
        <w:vertAlign w:val="base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F0F46CF"/>
    <w:multiLevelType w:val="multilevel"/>
    <w:tmpl w:val="2C8C6A1A"/>
    <w:numStyleLink w:val="111111"/>
  </w:abstractNum>
  <w:abstractNum w:abstractNumId="21" w15:restartNumberingAfterBreak="0">
    <w:nsid w:val="20D42406"/>
    <w:multiLevelType w:val="hybridMultilevel"/>
    <w:tmpl w:val="500E93DE"/>
    <w:lvl w:ilvl="0" w:tplc="B972BDAE">
      <w:start w:val="1"/>
      <w:numFmt w:val="bullet"/>
      <w:pStyle w:val="Absatzpunkt3Ebeneberschrift"/>
      <w:lvlText w:val=""/>
      <w:lvlJc w:val="left"/>
      <w:pPr>
        <w:tabs>
          <w:tab w:val="num" w:pos="1276"/>
        </w:tabs>
        <w:ind w:left="1276" w:hanging="425"/>
      </w:pPr>
      <w:rPr>
        <w:rFonts w:ascii="Wingdings" w:hAnsi="Wingdings" w:hint="default"/>
        <w:caps w:val="0"/>
        <w:strike w:val="0"/>
        <w:dstrike w:val="0"/>
        <w:vanish w:val="0"/>
        <w:color w:val="CECFCD"/>
        <w:vertAlign w:val="baseli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24982731"/>
    <w:multiLevelType w:val="hybridMultilevel"/>
    <w:tmpl w:val="C0A4D76E"/>
    <w:lvl w:ilvl="0" w:tplc="2E2A5024">
      <w:start w:val="1"/>
      <w:numFmt w:val="bullet"/>
      <w:pStyle w:val="Absatzpunkt2EbeneText"/>
      <w:lvlText w:val=""/>
      <w:lvlJc w:val="left"/>
      <w:pPr>
        <w:ind w:left="851" w:hanging="426"/>
      </w:pPr>
      <w:rPr>
        <w:rFonts w:ascii="Wingdings" w:hAnsi="Wingdings" w:hint="default"/>
        <w:b w:val="0"/>
        <w:bCs w:val="0"/>
        <w:i w:val="0"/>
        <w:iCs w:val="0"/>
        <w:caps w:val="0"/>
        <w:strike w:val="0"/>
        <w:dstrike w:val="0"/>
        <w:vanish w:val="0"/>
        <w:color w:val="828381"/>
        <w:sz w:val="19"/>
        <w:szCs w:val="19"/>
        <w:u w:val="none"/>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26037F77"/>
    <w:multiLevelType w:val="multilevel"/>
    <w:tmpl w:val="0407001D"/>
    <w:numStyleLink w:val="Formatvorlage1"/>
  </w:abstractNum>
  <w:abstractNum w:abstractNumId="24" w15:restartNumberingAfterBreak="0">
    <w:nsid w:val="28CB2617"/>
    <w:multiLevelType w:val="hybridMultilevel"/>
    <w:tmpl w:val="1DE8A88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34A85199"/>
    <w:multiLevelType w:val="multilevel"/>
    <w:tmpl w:val="656C5EC6"/>
    <w:lvl w:ilvl="0">
      <w:start w:val="1"/>
      <w:numFmt w:val="decimal"/>
      <w:lvlText w:val="%1"/>
      <w:lvlJc w:val="left"/>
      <w:pPr>
        <w:tabs>
          <w:tab w:val="num" w:pos="851"/>
        </w:tabs>
        <w:ind w:left="851" w:hanging="851"/>
      </w:pPr>
      <w:rPr>
        <w:rFonts w:ascii="Arial" w:hAnsi="Arial" w:hint="default"/>
        <w:b w:val="0"/>
        <w:bCs w:val="0"/>
        <w:i w:val="0"/>
        <w:iCs w:val="0"/>
        <w:caps w:val="0"/>
        <w:strike w:val="0"/>
        <w:dstrike w:val="0"/>
        <w:vanish w:val="0"/>
        <w:color w:val="DF6421"/>
        <w:spacing w:val="0"/>
        <w:kern w:val="0"/>
        <w:position w:val="0"/>
        <w:sz w:val="25"/>
        <w:szCs w:val="25"/>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val="0"/>
        <w:bCs w:val="0"/>
        <w:i w:val="0"/>
        <w:iCs w:val="0"/>
        <w:caps w:val="0"/>
        <w:strike w:val="0"/>
        <w:dstrike w:val="0"/>
        <w:vanish w:val="0"/>
        <w:color w:val="DF6421"/>
        <w:sz w:val="23"/>
        <w:szCs w:val="23"/>
        <w:u w:val="none"/>
        <w:vertAlign w:val="baseline"/>
      </w:rPr>
    </w:lvl>
    <w:lvl w:ilvl="2">
      <w:start w:val="1"/>
      <w:numFmt w:val="decimal"/>
      <w:lvlText w:val="%1.%2.%3"/>
      <w:lvlJc w:val="left"/>
      <w:pPr>
        <w:tabs>
          <w:tab w:val="num" w:pos="851"/>
        </w:tabs>
        <w:ind w:left="851" w:hanging="851"/>
      </w:pPr>
      <w:rPr>
        <w:rFonts w:ascii="Arial" w:hAnsi="Arial" w:hint="default"/>
        <w:b w:val="0"/>
        <w:bCs w:val="0"/>
        <w:i w:val="0"/>
        <w:iCs w:val="0"/>
        <w:caps w:val="0"/>
        <w:strike w:val="0"/>
        <w:dstrike w:val="0"/>
        <w:vanish w:val="0"/>
        <w:color w:val="DF6421"/>
        <w:sz w:val="21"/>
        <w:szCs w:val="21"/>
        <w:u w:val="none"/>
        <w:vertAlign w:val="baseline"/>
      </w:rPr>
    </w:lvl>
    <w:lvl w:ilvl="3">
      <w:start w:val="1"/>
      <w:numFmt w:val="decimal"/>
      <w:lvlText w:val="%1.%2.%3.%4"/>
      <w:lvlJc w:val="left"/>
      <w:pPr>
        <w:tabs>
          <w:tab w:val="num" w:pos="851"/>
        </w:tabs>
        <w:ind w:left="851" w:hanging="851"/>
      </w:pPr>
      <w:rPr>
        <w:rFonts w:ascii="Arial" w:hAnsi="Arial" w:hint="default"/>
        <w:b w:val="0"/>
        <w:bCs w:val="0"/>
        <w:i w:val="0"/>
        <w:iCs w:val="0"/>
        <w:caps w:val="0"/>
        <w:strike w:val="0"/>
        <w:dstrike w:val="0"/>
        <w:vanish w:val="0"/>
        <w:color w:val="DF6421"/>
        <w:sz w:val="19"/>
        <w:szCs w:val="19"/>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ordinal"/>
      <w:lvlText w:val="%7"/>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7">
      <w:start w:val="1"/>
      <w:numFmt w:val="ordinal"/>
      <w:lvlText w:val="%7%8"/>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8">
      <w:start w:val="1"/>
      <w:numFmt w:val="ordinal"/>
      <w:lvlText w:val="%7%8%9"/>
      <w:lvlJc w:val="left"/>
      <w:pPr>
        <w:tabs>
          <w:tab w:val="num" w:pos="851"/>
        </w:tabs>
        <w:ind w:left="851" w:hanging="851"/>
      </w:pPr>
      <w:rPr>
        <w:rFonts w:ascii="Arial" w:hAnsi="Arial" w:hint="default"/>
        <w:b/>
        <w:bCs/>
        <w:i w:val="0"/>
        <w:iCs w:val="0"/>
        <w:caps w:val="0"/>
        <w:strike w:val="0"/>
        <w:dstrike w:val="0"/>
        <w:vanish w:val="0"/>
        <w:color w:val="636463"/>
        <w:sz w:val="19"/>
        <w:szCs w:val="19"/>
        <w:u w:val="none"/>
        <w:vertAlign w:val="baseline"/>
      </w:rPr>
    </w:lvl>
  </w:abstractNum>
  <w:abstractNum w:abstractNumId="26" w15:restartNumberingAfterBreak="0">
    <w:nsid w:val="34B12D03"/>
    <w:multiLevelType w:val="hybridMultilevel"/>
    <w:tmpl w:val="E3F0F3E2"/>
    <w:lvl w:ilvl="0" w:tplc="484AC80A">
      <w:start w:val="1"/>
      <w:numFmt w:val="decimal"/>
      <w:pStyle w:val="Bildunterschrift"/>
      <w:lvlText w:val="Abb. %1:"/>
      <w:lvlJc w:val="left"/>
      <w:pPr>
        <w:tabs>
          <w:tab w:val="num" w:pos="709"/>
        </w:tabs>
        <w:ind w:left="0" w:firstLine="0"/>
      </w:pPr>
      <w:rPr>
        <w:rFonts w:ascii="Arial" w:hAnsi="Arial" w:hint="default"/>
        <w:caps w:val="0"/>
        <w:strike w:val="0"/>
        <w:dstrike w:val="0"/>
        <w:vanish w:val="0"/>
        <w:sz w:val="17"/>
        <w:szCs w:val="17"/>
        <w:u w:val="none"/>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37EF06C3"/>
    <w:multiLevelType w:val="hybridMultilevel"/>
    <w:tmpl w:val="C986C364"/>
    <w:lvl w:ilvl="0" w:tplc="C5FC06D6">
      <w:start w:val="1"/>
      <w:numFmt w:val="bullet"/>
      <w:pStyle w:val="Absatzpunkt1EbeneText"/>
      <w:lvlText w:val=""/>
      <w:lvlJc w:val="left"/>
      <w:pPr>
        <w:ind w:left="426" w:hanging="426"/>
      </w:pPr>
      <w:rPr>
        <w:rFonts w:ascii="Wingdings" w:hAnsi="Wingdings" w:hint="default"/>
        <w:b w:val="0"/>
        <w:bCs w:val="0"/>
        <w:i w:val="0"/>
        <w:iCs w:val="0"/>
        <w:caps w:val="0"/>
        <w:strike w:val="0"/>
        <w:dstrike w:val="0"/>
        <w:vanish w:val="0"/>
        <w:color w:val="474746"/>
        <w:sz w:val="19"/>
        <w:szCs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8F37E59"/>
    <w:multiLevelType w:val="hybridMultilevel"/>
    <w:tmpl w:val="BA004108"/>
    <w:lvl w:ilvl="0" w:tplc="19401B74">
      <w:start w:val="1"/>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418F5F15"/>
    <w:multiLevelType w:val="multilevel"/>
    <w:tmpl w:val="3682AC3E"/>
    <w:lvl w:ilvl="0">
      <w:start w:val="1"/>
      <w:numFmt w:val="decimal"/>
      <w:lvlText w:val="%1"/>
      <w:lvlJc w:val="left"/>
      <w:pPr>
        <w:tabs>
          <w:tab w:val="num" w:pos="851"/>
        </w:tabs>
        <w:ind w:left="851" w:hanging="851"/>
      </w:pPr>
      <w:rPr>
        <w:rFonts w:ascii="Arial" w:hAnsi="Arial" w:hint="default"/>
        <w:b w:val="0"/>
        <w:bCs w:val="0"/>
        <w:i w:val="0"/>
        <w:iCs w:val="0"/>
        <w:caps w:val="0"/>
        <w:strike w:val="0"/>
        <w:dstrike w:val="0"/>
        <w:vanish w:val="0"/>
        <w:color w:val="DF6421"/>
        <w:spacing w:val="0"/>
        <w:kern w:val="0"/>
        <w:position w:val="0"/>
        <w:sz w:val="25"/>
        <w:szCs w:val="25"/>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val="0"/>
        <w:bCs w:val="0"/>
        <w:i w:val="0"/>
        <w:iCs w:val="0"/>
        <w:caps w:val="0"/>
        <w:strike w:val="0"/>
        <w:dstrike w:val="0"/>
        <w:vanish w:val="0"/>
        <w:color w:val="DF6421"/>
        <w:sz w:val="23"/>
        <w:szCs w:val="23"/>
        <w:u w:val="none"/>
        <w:vertAlign w:val="baseline"/>
      </w:rPr>
    </w:lvl>
    <w:lvl w:ilvl="2">
      <w:start w:val="1"/>
      <w:numFmt w:val="decimal"/>
      <w:lvlText w:val="%1.%2.%3"/>
      <w:lvlJc w:val="left"/>
      <w:pPr>
        <w:tabs>
          <w:tab w:val="num" w:pos="851"/>
        </w:tabs>
        <w:ind w:left="851" w:hanging="851"/>
      </w:pPr>
      <w:rPr>
        <w:rFonts w:ascii="Arial" w:hAnsi="Arial" w:hint="default"/>
        <w:b w:val="0"/>
        <w:bCs w:val="0"/>
        <w:i w:val="0"/>
        <w:iCs w:val="0"/>
        <w:caps w:val="0"/>
        <w:strike w:val="0"/>
        <w:dstrike w:val="0"/>
        <w:vanish w:val="0"/>
        <w:color w:val="DF6421"/>
        <w:sz w:val="21"/>
        <w:szCs w:val="21"/>
        <w:u w:val="none"/>
        <w:vertAlign w:val="baseline"/>
      </w:rPr>
    </w:lvl>
    <w:lvl w:ilvl="3">
      <w:start w:val="1"/>
      <w:numFmt w:val="decimal"/>
      <w:lvlText w:val="%1.%2.%3.%4"/>
      <w:lvlJc w:val="left"/>
      <w:pPr>
        <w:tabs>
          <w:tab w:val="num" w:pos="851"/>
        </w:tabs>
        <w:ind w:left="851" w:hanging="851"/>
      </w:pPr>
      <w:rPr>
        <w:rFonts w:ascii="Arial" w:hAnsi="Arial" w:hint="default"/>
        <w:b w:val="0"/>
        <w:bCs w:val="0"/>
        <w:i w:val="0"/>
        <w:iCs w:val="0"/>
        <w:caps w:val="0"/>
        <w:strike w:val="0"/>
        <w:dstrike w:val="0"/>
        <w:vanish w:val="0"/>
        <w:color w:val="DF6421"/>
        <w:sz w:val="19"/>
        <w:szCs w:val="19"/>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ordinal"/>
      <w:lvlText w:val="%7"/>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7">
      <w:start w:val="1"/>
      <w:numFmt w:val="ordinal"/>
      <w:lvlText w:val="%7%8"/>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8">
      <w:start w:val="1"/>
      <w:numFmt w:val="ordinal"/>
      <w:lvlText w:val="%7%8%9"/>
      <w:lvlJc w:val="left"/>
      <w:pPr>
        <w:tabs>
          <w:tab w:val="num" w:pos="851"/>
        </w:tabs>
        <w:ind w:left="851" w:hanging="851"/>
      </w:pPr>
      <w:rPr>
        <w:rFonts w:ascii="Arial" w:hAnsi="Arial" w:hint="default"/>
        <w:b/>
        <w:bCs/>
        <w:i w:val="0"/>
        <w:iCs w:val="0"/>
        <w:caps w:val="0"/>
        <w:strike w:val="0"/>
        <w:dstrike w:val="0"/>
        <w:vanish w:val="0"/>
        <w:color w:val="636463"/>
        <w:sz w:val="19"/>
        <w:szCs w:val="19"/>
        <w:u w:val="none"/>
        <w:vertAlign w:val="baseline"/>
      </w:rPr>
    </w:lvl>
  </w:abstractNum>
  <w:abstractNum w:abstractNumId="30" w15:restartNumberingAfterBreak="0">
    <w:nsid w:val="42D658E4"/>
    <w:multiLevelType w:val="multilevel"/>
    <w:tmpl w:val="AD9E117A"/>
    <w:lvl w:ilvl="0">
      <w:start w:val="1"/>
      <w:numFmt w:val="bullet"/>
      <w:lvlText w:val=""/>
      <w:lvlJc w:val="left"/>
      <w:pPr>
        <w:tabs>
          <w:tab w:val="num" w:pos="850"/>
        </w:tabs>
        <w:ind w:left="850" w:hanging="425"/>
      </w:pPr>
      <w:rPr>
        <w:rFonts w:ascii="Wingdings" w:hAnsi="Wingdings" w:hint="default"/>
        <w:caps w:val="0"/>
        <w:strike w:val="0"/>
        <w:dstrike w:val="0"/>
        <w:vanish w:val="0"/>
        <w:color w:val="636463"/>
        <w:vertAlign w:val="base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3072518"/>
    <w:multiLevelType w:val="multilevel"/>
    <w:tmpl w:val="2C8C6A1A"/>
    <w:styleLink w:val="111111"/>
    <w:lvl w:ilvl="0">
      <w:start w:val="1"/>
      <w:numFmt w:val="decimal"/>
      <w:lvlText w:val="%1."/>
      <w:lvlJc w:val="left"/>
      <w:pPr>
        <w:tabs>
          <w:tab w:val="num" w:pos="1145"/>
        </w:tabs>
        <w:ind w:left="1145" w:hanging="1145"/>
      </w:pPr>
      <w:rPr>
        <w:rFonts w:hint="default"/>
      </w:rPr>
    </w:lvl>
    <w:lvl w:ilvl="1">
      <w:start w:val="1"/>
      <w:numFmt w:val="decimal"/>
      <w:lvlText w:val="%1.%2."/>
      <w:lvlJc w:val="left"/>
      <w:pPr>
        <w:tabs>
          <w:tab w:val="num" w:pos="425"/>
        </w:tabs>
        <w:ind w:left="425" w:hanging="425"/>
      </w:pPr>
      <w:rPr>
        <w:rFonts w:hint="default"/>
        <w:color w:val="636463"/>
      </w:rPr>
    </w:lvl>
    <w:lvl w:ilvl="2">
      <w:start w:val="1"/>
      <w:numFmt w:val="decimal"/>
      <w:lvlText w:val="%1.%2.%3."/>
      <w:lvlJc w:val="left"/>
      <w:pPr>
        <w:ind w:left="2304" w:hanging="504"/>
      </w:pPr>
      <w:rPr>
        <w:rFonts w:hint="default"/>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32" w15:restartNumberingAfterBreak="0">
    <w:nsid w:val="45254ECF"/>
    <w:multiLevelType w:val="multilevel"/>
    <w:tmpl w:val="D73008EC"/>
    <w:lvl w:ilvl="0">
      <w:start w:val="1"/>
      <w:numFmt w:val="decimal"/>
      <w:lvlText w:val="%1"/>
      <w:lvlJc w:val="left"/>
      <w:pPr>
        <w:tabs>
          <w:tab w:val="num" w:pos="851"/>
        </w:tabs>
        <w:ind w:left="851" w:hanging="851"/>
      </w:pPr>
      <w:rPr>
        <w:rFonts w:ascii="Arial" w:hAnsi="Arial" w:hint="default"/>
        <w:b w:val="0"/>
        <w:bCs w:val="0"/>
        <w:i w:val="0"/>
        <w:iCs w:val="0"/>
        <w:caps w:val="0"/>
        <w:strike w:val="0"/>
        <w:dstrike w:val="0"/>
        <w:vanish w:val="0"/>
        <w:color w:val="DF6421"/>
        <w:spacing w:val="0"/>
        <w:kern w:val="0"/>
        <w:position w:val="0"/>
        <w:sz w:val="25"/>
        <w:szCs w:val="25"/>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val="0"/>
        <w:bCs w:val="0"/>
        <w:i w:val="0"/>
        <w:iCs w:val="0"/>
        <w:caps w:val="0"/>
        <w:strike w:val="0"/>
        <w:dstrike w:val="0"/>
        <w:vanish w:val="0"/>
        <w:color w:val="DF6421"/>
        <w:sz w:val="23"/>
        <w:szCs w:val="23"/>
        <w:u w:val="none"/>
        <w:vertAlign w:val="baseline"/>
      </w:rPr>
    </w:lvl>
    <w:lvl w:ilvl="2">
      <w:start w:val="1"/>
      <w:numFmt w:val="decimal"/>
      <w:lvlText w:val="%1.%2.%3"/>
      <w:lvlJc w:val="left"/>
      <w:pPr>
        <w:tabs>
          <w:tab w:val="num" w:pos="851"/>
        </w:tabs>
        <w:ind w:left="851" w:hanging="851"/>
      </w:pPr>
      <w:rPr>
        <w:rFonts w:ascii="Arial" w:hAnsi="Arial" w:hint="default"/>
        <w:b w:val="0"/>
        <w:bCs w:val="0"/>
        <w:i w:val="0"/>
        <w:iCs w:val="0"/>
        <w:caps w:val="0"/>
        <w:strike w:val="0"/>
        <w:dstrike w:val="0"/>
        <w:vanish w:val="0"/>
        <w:color w:val="DF6421"/>
        <w:sz w:val="21"/>
        <w:szCs w:val="21"/>
        <w:u w:val="none"/>
        <w:vertAlign w:val="baseline"/>
      </w:rPr>
    </w:lvl>
    <w:lvl w:ilvl="3">
      <w:start w:val="1"/>
      <w:numFmt w:val="decimal"/>
      <w:lvlText w:val="%1.%2.%3.%4"/>
      <w:lvlJc w:val="left"/>
      <w:pPr>
        <w:tabs>
          <w:tab w:val="num" w:pos="851"/>
        </w:tabs>
        <w:ind w:left="851" w:hanging="851"/>
      </w:pPr>
      <w:rPr>
        <w:rFonts w:ascii="Arial" w:hAnsi="Arial" w:hint="default"/>
        <w:b w:val="0"/>
        <w:bCs w:val="0"/>
        <w:i w:val="0"/>
        <w:iCs w:val="0"/>
        <w:caps w:val="0"/>
        <w:strike w:val="0"/>
        <w:dstrike w:val="0"/>
        <w:vanish w:val="0"/>
        <w:color w:val="DF6421"/>
        <w:sz w:val="19"/>
        <w:szCs w:val="19"/>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ordinal"/>
      <w:lvlText w:val="%7"/>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7">
      <w:start w:val="1"/>
      <w:numFmt w:val="ordinal"/>
      <w:lvlText w:val="%7%8"/>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8">
      <w:start w:val="1"/>
      <w:numFmt w:val="ordinal"/>
      <w:lvlText w:val="%7%8%9"/>
      <w:lvlJc w:val="left"/>
      <w:pPr>
        <w:tabs>
          <w:tab w:val="num" w:pos="851"/>
        </w:tabs>
        <w:ind w:left="851" w:hanging="851"/>
      </w:pPr>
      <w:rPr>
        <w:rFonts w:ascii="Arial" w:hAnsi="Arial" w:hint="default"/>
        <w:b/>
        <w:bCs/>
        <w:i w:val="0"/>
        <w:iCs w:val="0"/>
        <w:caps w:val="0"/>
        <w:strike w:val="0"/>
        <w:dstrike w:val="0"/>
        <w:vanish w:val="0"/>
        <w:color w:val="636463"/>
        <w:sz w:val="19"/>
        <w:szCs w:val="19"/>
        <w:u w:val="none"/>
        <w:vertAlign w:val="baseline"/>
      </w:rPr>
    </w:lvl>
  </w:abstractNum>
  <w:abstractNum w:abstractNumId="33" w15:restartNumberingAfterBreak="0">
    <w:nsid w:val="484952D2"/>
    <w:multiLevelType w:val="hybridMultilevel"/>
    <w:tmpl w:val="5718BA68"/>
    <w:lvl w:ilvl="0" w:tplc="A0E4B7AE">
      <w:start w:val="1"/>
      <w:numFmt w:val="upperRoman"/>
      <w:pStyle w:val="AufzhlungI"/>
      <w:lvlText w:val="%1."/>
      <w:lvlJc w:val="left"/>
      <w:pPr>
        <w:ind w:left="425" w:hanging="425"/>
      </w:pPr>
      <w:rPr>
        <w:rFonts w:ascii="Arial" w:hAnsi="Arial" w:hint="default"/>
        <w:b w:val="0"/>
        <w:bCs w:val="0"/>
        <w:i w:val="0"/>
        <w:iCs w:val="0"/>
        <w:caps w:val="0"/>
        <w:strike w:val="0"/>
        <w:dstrike w:val="0"/>
        <w:vanish w:val="0"/>
        <w:color w:val="636463"/>
        <w:sz w:val="19"/>
        <w:szCs w:val="19"/>
        <w:u w:val="none"/>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4A351A8C"/>
    <w:multiLevelType w:val="multilevel"/>
    <w:tmpl w:val="0407001D"/>
    <w:styleLink w:val="Formatvorlag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1B43732"/>
    <w:multiLevelType w:val="multilevel"/>
    <w:tmpl w:val="9FC03A96"/>
    <w:lvl w:ilvl="0">
      <w:start w:val="1"/>
      <w:numFmt w:val="decimal"/>
      <w:lvlText w:val="%1"/>
      <w:lvlJc w:val="left"/>
      <w:pPr>
        <w:tabs>
          <w:tab w:val="num" w:pos="851"/>
        </w:tabs>
        <w:ind w:left="851" w:hanging="851"/>
      </w:pPr>
      <w:rPr>
        <w:rFonts w:ascii="Arial" w:hAnsi="Arial" w:hint="default"/>
        <w:b w:val="0"/>
        <w:bCs w:val="0"/>
        <w:i w:val="0"/>
        <w:iCs w:val="0"/>
        <w:caps w:val="0"/>
        <w:strike w:val="0"/>
        <w:dstrike w:val="0"/>
        <w:vanish w:val="0"/>
        <w:color w:val="DF6421"/>
        <w:spacing w:val="0"/>
        <w:kern w:val="0"/>
        <w:position w:val="0"/>
        <w:sz w:val="25"/>
        <w:szCs w:val="25"/>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val="0"/>
        <w:bCs w:val="0"/>
        <w:i w:val="0"/>
        <w:iCs w:val="0"/>
        <w:caps w:val="0"/>
        <w:strike w:val="0"/>
        <w:dstrike w:val="0"/>
        <w:vanish w:val="0"/>
        <w:color w:val="DF6421"/>
        <w:sz w:val="23"/>
        <w:szCs w:val="23"/>
        <w:u w:val="none"/>
        <w:vertAlign w:val="baseline"/>
      </w:rPr>
    </w:lvl>
    <w:lvl w:ilvl="2">
      <w:start w:val="1"/>
      <w:numFmt w:val="decimal"/>
      <w:lvlText w:val="%1.%2.%3"/>
      <w:lvlJc w:val="left"/>
      <w:pPr>
        <w:tabs>
          <w:tab w:val="num" w:pos="851"/>
        </w:tabs>
        <w:ind w:left="851" w:hanging="851"/>
      </w:pPr>
      <w:rPr>
        <w:rFonts w:ascii="Arial" w:hAnsi="Arial" w:hint="default"/>
        <w:b w:val="0"/>
        <w:bCs w:val="0"/>
        <w:i w:val="0"/>
        <w:iCs w:val="0"/>
        <w:caps w:val="0"/>
        <w:strike w:val="0"/>
        <w:dstrike w:val="0"/>
        <w:vanish w:val="0"/>
        <w:color w:val="DF6421"/>
        <w:sz w:val="21"/>
        <w:szCs w:val="21"/>
        <w:u w:val="none"/>
        <w:vertAlign w:val="baseline"/>
      </w:rPr>
    </w:lvl>
    <w:lvl w:ilvl="3">
      <w:start w:val="1"/>
      <w:numFmt w:val="decimal"/>
      <w:lvlText w:val="%1.%2.%3.%4"/>
      <w:lvlJc w:val="left"/>
      <w:pPr>
        <w:tabs>
          <w:tab w:val="num" w:pos="851"/>
        </w:tabs>
        <w:ind w:left="851" w:hanging="851"/>
      </w:pPr>
      <w:rPr>
        <w:rFonts w:ascii="Arial" w:hAnsi="Arial" w:hint="default"/>
        <w:b w:val="0"/>
        <w:bCs w:val="0"/>
        <w:i w:val="0"/>
        <w:iCs w:val="0"/>
        <w:caps w:val="0"/>
        <w:strike w:val="0"/>
        <w:dstrike w:val="0"/>
        <w:vanish w:val="0"/>
        <w:color w:val="DF6421"/>
        <w:sz w:val="19"/>
        <w:szCs w:val="19"/>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ordinal"/>
      <w:lvlText w:val="%7"/>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7">
      <w:start w:val="1"/>
      <w:numFmt w:val="ordinal"/>
      <w:lvlText w:val="%7%8"/>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8">
      <w:start w:val="1"/>
      <w:numFmt w:val="ordinal"/>
      <w:lvlText w:val="%7%8%9"/>
      <w:lvlJc w:val="left"/>
      <w:pPr>
        <w:tabs>
          <w:tab w:val="num" w:pos="851"/>
        </w:tabs>
        <w:ind w:left="851" w:hanging="851"/>
      </w:pPr>
      <w:rPr>
        <w:rFonts w:ascii="Arial" w:hAnsi="Arial" w:hint="default"/>
        <w:b/>
        <w:bCs/>
        <w:i w:val="0"/>
        <w:iCs w:val="0"/>
        <w:caps w:val="0"/>
        <w:strike w:val="0"/>
        <w:dstrike w:val="0"/>
        <w:vanish w:val="0"/>
        <w:color w:val="636463"/>
        <w:sz w:val="19"/>
        <w:szCs w:val="19"/>
        <w:u w:val="none"/>
        <w:vertAlign w:val="baseline"/>
      </w:rPr>
    </w:lvl>
  </w:abstractNum>
  <w:abstractNum w:abstractNumId="36" w15:restartNumberingAfterBreak="0">
    <w:nsid w:val="569A13E6"/>
    <w:multiLevelType w:val="hybridMultilevel"/>
    <w:tmpl w:val="0C883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8015D1D"/>
    <w:multiLevelType w:val="multilevel"/>
    <w:tmpl w:val="A6CEBF14"/>
    <w:lvl w:ilvl="0">
      <w:start w:val="1"/>
      <w:numFmt w:val="decimal"/>
      <w:lvlText w:val="%1"/>
      <w:lvlJc w:val="left"/>
      <w:pPr>
        <w:tabs>
          <w:tab w:val="num" w:pos="851"/>
        </w:tabs>
        <w:ind w:left="851" w:hanging="851"/>
      </w:pPr>
      <w:rPr>
        <w:rFonts w:ascii="Arial" w:hAnsi="Arial" w:hint="default"/>
        <w:b w:val="0"/>
        <w:bCs w:val="0"/>
        <w:i w:val="0"/>
        <w:iCs w:val="0"/>
        <w:caps w:val="0"/>
        <w:strike w:val="0"/>
        <w:dstrike w:val="0"/>
        <w:vanish w:val="0"/>
        <w:color w:val="DF6421"/>
        <w:spacing w:val="0"/>
        <w:kern w:val="0"/>
        <w:position w:val="0"/>
        <w:sz w:val="25"/>
        <w:szCs w:val="25"/>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val="0"/>
        <w:bCs w:val="0"/>
        <w:i w:val="0"/>
        <w:iCs w:val="0"/>
        <w:caps w:val="0"/>
        <w:strike w:val="0"/>
        <w:dstrike w:val="0"/>
        <w:vanish w:val="0"/>
        <w:color w:val="DF6421"/>
        <w:sz w:val="23"/>
        <w:szCs w:val="23"/>
        <w:u w:val="none"/>
        <w:vertAlign w:val="baseline"/>
      </w:rPr>
    </w:lvl>
    <w:lvl w:ilvl="2">
      <w:start w:val="1"/>
      <w:numFmt w:val="decimal"/>
      <w:lvlText w:val="%1.%2.%3"/>
      <w:lvlJc w:val="left"/>
      <w:pPr>
        <w:tabs>
          <w:tab w:val="num" w:pos="851"/>
        </w:tabs>
        <w:ind w:left="851" w:hanging="851"/>
      </w:pPr>
      <w:rPr>
        <w:rFonts w:ascii="Arial" w:hAnsi="Arial" w:hint="default"/>
        <w:b w:val="0"/>
        <w:bCs w:val="0"/>
        <w:i w:val="0"/>
        <w:iCs w:val="0"/>
        <w:caps w:val="0"/>
        <w:strike w:val="0"/>
        <w:dstrike w:val="0"/>
        <w:vanish w:val="0"/>
        <w:color w:val="DF6421"/>
        <w:sz w:val="21"/>
        <w:szCs w:val="21"/>
        <w:u w:val="none"/>
        <w:vertAlign w:val="baseline"/>
      </w:rPr>
    </w:lvl>
    <w:lvl w:ilvl="3">
      <w:start w:val="1"/>
      <w:numFmt w:val="decimal"/>
      <w:lvlText w:val="%1.%2.%3.%4"/>
      <w:lvlJc w:val="left"/>
      <w:pPr>
        <w:tabs>
          <w:tab w:val="num" w:pos="851"/>
        </w:tabs>
        <w:ind w:left="851" w:hanging="851"/>
      </w:pPr>
      <w:rPr>
        <w:rFonts w:ascii="Arial" w:hAnsi="Arial" w:hint="default"/>
        <w:b w:val="0"/>
        <w:bCs w:val="0"/>
        <w:i w:val="0"/>
        <w:iCs w:val="0"/>
        <w:caps w:val="0"/>
        <w:strike w:val="0"/>
        <w:dstrike w:val="0"/>
        <w:vanish w:val="0"/>
        <w:color w:val="DF6421"/>
        <w:sz w:val="19"/>
        <w:szCs w:val="19"/>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ordinal"/>
      <w:lvlText w:val="%7"/>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7">
      <w:start w:val="1"/>
      <w:numFmt w:val="ordinal"/>
      <w:lvlText w:val="%7%8"/>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8">
      <w:start w:val="1"/>
      <w:numFmt w:val="ordinal"/>
      <w:lvlText w:val="%7%8%9"/>
      <w:lvlJc w:val="left"/>
      <w:pPr>
        <w:tabs>
          <w:tab w:val="num" w:pos="851"/>
        </w:tabs>
        <w:ind w:left="851" w:hanging="851"/>
      </w:pPr>
      <w:rPr>
        <w:rFonts w:ascii="Arial" w:hAnsi="Arial" w:hint="default"/>
        <w:b/>
        <w:bCs/>
        <w:i w:val="0"/>
        <w:iCs w:val="0"/>
        <w:caps w:val="0"/>
        <w:strike w:val="0"/>
        <w:dstrike w:val="0"/>
        <w:vanish w:val="0"/>
        <w:color w:val="636463"/>
        <w:sz w:val="19"/>
        <w:szCs w:val="19"/>
        <w:u w:val="none"/>
        <w:vertAlign w:val="baseline"/>
      </w:rPr>
    </w:lvl>
  </w:abstractNum>
  <w:abstractNum w:abstractNumId="38" w15:restartNumberingAfterBreak="0">
    <w:nsid w:val="59013286"/>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E8551BB"/>
    <w:multiLevelType w:val="multilevel"/>
    <w:tmpl w:val="618834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ordinal"/>
      <w:lvlText w:val="%8%7."/>
      <w:lvlJc w:val="left"/>
      <w:pPr>
        <w:tabs>
          <w:tab w:val="num" w:pos="425"/>
        </w:tabs>
        <w:ind w:left="425" w:hanging="425"/>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5B64F26"/>
    <w:multiLevelType w:val="hybridMultilevel"/>
    <w:tmpl w:val="AE3CE278"/>
    <w:lvl w:ilvl="0" w:tplc="F95E41A6">
      <w:start w:val="1"/>
      <w:numFmt w:val="lowerLetter"/>
      <w:pStyle w:val="Aufzhlunga"/>
      <w:lvlText w:val="%1)"/>
      <w:lvlJc w:val="left"/>
      <w:pPr>
        <w:ind w:left="425" w:hanging="425"/>
      </w:pPr>
      <w:rPr>
        <w:rFonts w:ascii="Arial" w:hAnsi="Arial" w:hint="default"/>
        <w:b w:val="0"/>
        <w:bCs w:val="0"/>
        <w:i w:val="0"/>
        <w:iCs w:val="0"/>
        <w:caps w:val="0"/>
        <w:strike w:val="0"/>
        <w:dstrike w:val="0"/>
        <w:vanish w:val="0"/>
        <w:color w:val="636463"/>
        <w:sz w:val="19"/>
        <w:szCs w:val="19"/>
        <w:u w:val="none"/>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03B57E8"/>
    <w:multiLevelType w:val="hybridMultilevel"/>
    <w:tmpl w:val="C08087BA"/>
    <w:lvl w:ilvl="0" w:tplc="62746848">
      <w:start w:val="1"/>
      <w:numFmt w:val="decimal"/>
      <w:pStyle w:val="Aufzhlung1"/>
      <w:lvlText w:val="%1."/>
      <w:lvlJc w:val="left"/>
      <w:pPr>
        <w:ind w:left="425" w:hanging="425"/>
      </w:pPr>
      <w:rPr>
        <w:rFonts w:ascii="Arial" w:hAnsi="Arial" w:hint="default"/>
        <w:b w:val="0"/>
        <w:bCs w:val="0"/>
        <w:i w:val="0"/>
        <w:iCs w:val="0"/>
        <w:caps w:val="0"/>
        <w:strike w:val="0"/>
        <w:dstrike w:val="0"/>
        <w:vanish w:val="0"/>
        <w:color w:val="636463"/>
        <w:sz w:val="19"/>
        <w:szCs w:val="19"/>
        <w:u w:val="none"/>
        <w:vertAlign w:val="baseline"/>
      </w:rPr>
    </w:lvl>
    <w:lvl w:ilvl="1" w:tplc="57E8DB54">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7C33F75"/>
    <w:multiLevelType w:val="multilevel"/>
    <w:tmpl w:val="3AA08672"/>
    <w:lvl w:ilvl="0">
      <w:start w:val="1"/>
      <w:numFmt w:val="decimal"/>
      <w:pStyle w:val="berschrift1"/>
      <w:lvlText w:val="%1"/>
      <w:lvlJc w:val="left"/>
      <w:pPr>
        <w:tabs>
          <w:tab w:val="num" w:pos="851"/>
        </w:tabs>
        <w:ind w:left="851" w:hanging="851"/>
      </w:pPr>
      <w:rPr>
        <w:rFonts w:ascii="Arial" w:hAnsi="Arial" w:hint="default"/>
        <w:b w:val="0"/>
        <w:bCs w:val="0"/>
        <w:i w:val="0"/>
        <w:iCs w:val="0"/>
        <w:caps w:val="0"/>
        <w:strike w:val="0"/>
        <w:dstrike w:val="0"/>
        <w:vanish w:val="0"/>
        <w:color w:val="DF6421"/>
        <w:spacing w:val="0"/>
        <w:kern w:val="0"/>
        <w:position w:val="0"/>
        <w:sz w:val="25"/>
        <w:szCs w:val="25"/>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erschrift2"/>
      <w:lvlText w:val="%1.%2"/>
      <w:lvlJc w:val="left"/>
      <w:pPr>
        <w:tabs>
          <w:tab w:val="num" w:pos="851"/>
        </w:tabs>
        <w:ind w:left="851" w:hanging="851"/>
      </w:pPr>
      <w:rPr>
        <w:rFonts w:ascii="Arial" w:hAnsi="Arial" w:hint="default"/>
        <w:b w:val="0"/>
        <w:bCs w:val="0"/>
        <w:i w:val="0"/>
        <w:iCs w:val="0"/>
        <w:caps w:val="0"/>
        <w:strike w:val="0"/>
        <w:dstrike w:val="0"/>
        <w:vanish w:val="0"/>
        <w:color w:val="DF6421"/>
        <w:sz w:val="23"/>
        <w:szCs w:val="23"/>
        <w:u w:val="none"/>
        <w:vertAlign w:val="baseline"/>
      </w:rPr>
    </w:lvl>
    <w:lvl w:ilvl="2">
      <w:start w:val="1"/>
      <w:numFmt w:val="decimal"/>
      <w:pStyle w:val="berschrift3"/>
      <w:lvlText w:val="%1.%2.%3"/>
      <w:lvlJc w:val="left"/>
      <w:pPr>
        <w:tabs>
          <w:tab w:val="num" w:pos="851"/>
        </w:tabs>
        <w:ind w:left="851" w:hanging="851"/>
      </w:pPr>
      <w:rPr>
        <w:rFonts w:ascii="Arial" w:hAnsi="Arial" w:hint="default"/>
        <w:b w:val="0"/>
        <w:bCs w:val="0"/>
        <w:i w:val="0"/>
        <w:iCs w:val="0"/>
        <w:caps w:val="0"/>
        <w:strike w:val="0"/>
        <w:dstrike w:val="0"/>
        <w:vanish w:val="0"/>
        <w:color w:val="DF6421"/>
        <w:sz w:val="21"/>
        <w:szCs w:val="21"/>
        <w:u w:val="none"/>
        <w:vertAlign w:val="baseline"/>
      </w:rPr>
    </w:lvl>
    <w:lvl w:ilvl="3">
      <w:start w:val="1"/>
      <w:numFmt w:val="decimal"/>
      <w:pStyle w:val="berschrift4"/>
      <w:lvlText w:val="%1.%2.%3.%4"/>
      <w:lvlJc w:val="left"/>
      <w:pPr>
        <w:tabs>
          <w:tab w:val="num" w:pos="851"/>
        </w:tabs>
        <w:ind w:left="851" w:hanging="851"/>
      </w:pPr>
      <w:rPr>
        <w:rFonts w:ascii="Arial" w:hAnsi="Arial" w:hint="default"/>
        <w:b w:val="0"/>
        <w:bCs w:val="0"/>
        <w:i w:val="0"/>
        <w:iCs w:val="0"/>
        <w:caps w:val="0"/>
        <w:strike w:val="0"/>
        <w:dstrike w:val="0"/>
        <w:vanish w:val="0"/>
        <w:color w:val="DF6421"/>
        <w:sz w:val="19"/>
        <w:szCs w:val="19"/>
        <w:u w:val="none"/>
        <w:vertAlign w:val="baseline"/>
      </w:rPr>
    </w:lvl>
    <w:lvl w:ilvl="4">
      <w:start w:val="1"/>
      <w:numFmt w:val="none"/>
      <w:pStyle w:val="berschrift5"/>
      <w:lvlText w:val=""/>
      <w:lvlJc w:val="left"/>
      <w:pPr>
        <w:tabs>
          <w:tab w:val="num" w:pos="0"/>
        </w:tabs>
        <w:ind w:left="0" w:firstLine="0"/>
      </w:pPr>
      <w:rPr>
        <w:rFonts w:hint="default"/>
      </w:rPr>
    </w:lvl>
    <w:lvl w:ilvl="5">
      <w:start w:val="1"/>
      <w:numFmt w:val="none"/>
      <w:pStyle w:val="berschrift6"/>
      <w:lvlText w:val=""/>
      <w:lvlJc w:val="left"/>
      <w:pPr>
        <w:tabs>
          <w:tab w:val="num" w:pos="0"/>
        </w:tabs>
        <w:ind w:left="0" w:firstLine="0"/>
      </w:pPr>
      <w:rPr>
        <w:rFonts w:hint="default"/>
      </w:rPr>
    </w:lvl>
    <w:lvl w:ilvl="6">
      <w:start w:val="1"/>
      <w:numFmt w:val="ordinal"/>
      <w:pStyle w:val="berschrift7"/>
      <w:lvlText w:val="%7"/>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7">
      <w:start w:val="1"/>
      <w:numFmt w:val="ordinal"/>
      <w:pStyle w:val="berschrift8"/>
      <w:lvlText w:val="%7%8"/>
      <w:lvlJc w:val="left"/>
      <w:pPr>
        <w:tabs>
          <w:tab w:val="num" w:pos="425"/>
        </w:tabs>
        <w:ind w:left="425" w:hanging="425"/>
      </w:pPr>
      <w:rPr>
        <w:rFonts w:ascii="Arial" w:hAnsi="Arial" w:hint="default"/>
        <w:b/>
        <w:bCs/>
        <w:i w:val="0"/>
        <w:iCs w:val="0"/>
        <w:caps w:val="0"/>
        <w:strike w:val="0"/>
        <w:dstrike w:val="0"/>
        <w:vanish w:val="0"/>
        <w:color w:val="636463"/>
        <w:sz w:val="19"/>
        <w:szCs w:val="19"/>
        <w:u w:val="none"/>
        <w:vertAlign w:val="baseline"/>
      </w:rPr>
    </w:lvl>
    <w:lvl w:ilvl="8">
      <w:start w:val="1"/>
      <w:numFmt w:val="ordinal"/>
      <w:pStyle w:val="berschrift9"/>
      <w:lvlText w:val="%7%8%9"/>
      <w:lvlJc w:val="left"/>
      <w:pPr>
        <w:tabs>
          <w:tab w:val="num" w:pos="851"/>
        </w:tabs>
        <w:ind w:left="851" w:hanging="851"/>
      </w:pPr>
      <w:rPr>
        <w:rFonts w:ascii="Arial" w:hAnsi="Arial" w:hint="default"/>
        <w:b/>
        <w:bCs/>
        <w:i w:val="0"/>
        <w:iCs w:val="0"/>
        <w:caps w:val="0"/>
        <w:strike w:val="0"/>
        <w:dstrike w:val="0"/>
        <w:vanish w:val="0"/>
        <w:color w:val="636463"/>
        <w:sz w:val="19"/>
        <w:szCs w:val="19"/>
        <w:u w:val="none"/>
        <w:vertAlign w:val="baseline"/>
      </w:rPr>
    </w:lvl>
  </w:abstractNum>
  <w:abstractNum w:abstractNumId="43" w15:restartNumberingAfterBreak="0">
    <w:nsid w:val="7D450B51"/>
    <w:multiLevelType w:val="multilevel"/>
    <w:tmpl w:val="2C8C6A1A"/>
    <w:numStyleLink w:val="111111"/>
  </w:abstractNum>
  <w:abstractNum w:abstractNumId="44" w15:restartNumberingAfterBreak="0">
    <w:nsid w:val="7EE916FB"/>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92187858">
    <w:abstractNumId w:val="27"/>
  </w:num>
  <w:num w:numId="2" w16cid:durableId="2135247559">
    <w:abstractNumId w:val="22"/>
  </w:num>
  <w:num w:numId="3" w16cid:durableId="1648706478">
    <w:abstractNumId w:val="12"/>
  </w:num>
  <w:num w:numId="4" w16cid:durableId="614796078">
    <w:abstractNumId w:val="33"/>
  </w:num>
  <w:num w:numId="5" w16cid:durableId="874391817">
    <w:abstractNumId w:val="41"/>
  </w:num>
  <w:num w:numId="6" w16cid:durableId="537200954">
    <w:abstractNumId w:val="40"/>
  </w:num>
  <w:num w:numId="7" w16cid:durableId="348455729">
    <w:abstractNumId w:val="42"/>
  </w:num>
  <w:num w:numId="8" w16cid:durableId="1028720436">
    <w:abstractNumId w:val="26"/>
  </w:num>
  <w:num w:numId="9" w16cid:durableId="258679113">
    <w:abstractNumId w:val="13"/>
  </w:num>
  <w:num w:numId="10" w16cid:durableId="1320425008">
    <w:abstractNumId w:val="31"/>
  </w:num>
  <w:num w:numId="11" w16cid:durableId="203375686">
    <w:abstractNumId w:val="43"/>
  </w:num>
  <w:num w:numId="12" w16cid:durableId="658537032">
    <w:abstractNumId w:val="20"/>
  </w:num>
  <w:num w:numId="13" w16cid:durableId="742796501">
    <w:abstractNumId w:val="39"/>
  </w:num>
  <w:num w:numId="14" w16cid:durableId="742489263">
    <w:abstractNumId w:val="44"/>
  </w:num>
  <w:num w:numId="15" w16cid:durableId="764956416">
    <w:abstractNumId w:val="35"/>
  </w:num>
  <w:num w:numId="16" w16cid:durableId="1814371908">
    <w:abstractNumId w:val="25"/>
  </w:num>
  <w:num w:numId="17" w16cid:durableId="486359369">
    <w:abstractNumId w:val="34"/>
  </w:num>
  <w:num w:numId="18" w16cid:durableId="1339500272">
    <w:abstractNumId w:val="23"/>
  </w:num>
  <w:num w:numId="19" w16cid:durableId="895433020">
    <w:abstractNumId w:val="21"/>
  </w:num>
  <w:num w:numId="20" w16cid:durableId="1419475171">
    <w:abstractNumId w:val="15"/>
  </w:num>
  <w:num w:numId="21" w16cid:durableId="766001896">
    <w:abstractNumId w:val="18"/>
  </w:num>
  <w:num w:numId="22" w16cid:durableId="189340973">
    <w:abstractNumId w:val="29"/>
  </w:num>
  <w:num w:numId="23" w16cid:durableId="1849127635">
    <w:abstractNumId w:val="17"/>
  </w:num>
  <w:num w:numId="24" w16cid:durableId="738594132">
    <w:abstractNumId w:val="19"/>
  </w:num>
  <w:num w:numId="25" w16cid:durableId="230239220">
    <w:abstractNumId w:val="16"/>
  </w:num>
  <w:num w:numId="26" w16cid:durableId="519396372">
    <w:abstractNumId w:val="30"/>
  </w:num>
  <w:num w:numId="27" w16cid:durableId="1339965209">
    <w:abstractNumId w:val="10"/>
  </w:num>
  <w:num w:numId="28" w16cid:durableId="1106997468">
    <w:abstractNumId w:val="8"/>
  </w:num>
  <w:num w:numId="29" w16cid:durableId="1714960943">
    <w:abstractNumId w:val="7"/>
  </w:num>
  <w:num w:numId="30" w16cid:durableId="65960523">
    <w:abstractNumId w:val="6"/>
  </w:num>
  <w:num w:numId="31" w16cid:durableId="445808042">
    <w:abstractNumId w:val="5"/>
  </w:num>
  <w:num w:numId="32" w16cid:durableId="1189485360">
    <w:abstractNumId w:val="38"/>
  </w:num>
  <w:num w:numId="33" w16cid:durableId="59403613">
    <w:abstractNumId w:val="14"/>
  </w:num>
  <w:num w:numId="34" w16cid:durableId="68508050">
    <w:abstractNumId w:val="37"/>
  </w:num>
  <w:num w:numId="35" w16cid:durableId="260652011">
    <w:abstractNumId w:val="32"/>
  </w:num>
  <w:num w:numId="36" w16cid:durableId="1515923394">
    <w:abstractNumId w:val="9"/>
  </w:num>
  <w:num w:numId="37" w16cid:durableId="70858390">
    <w:abstractNumId w:val="4"/>
  </w:num>
  <w:num w:numId="38" w16cid:durableId="814227207">
    <w:abstractNumId w:val="3"/>
  </w:num>
  <w:num w:numId="39" w16cid:durableId="1302463885">
    <w:abstractNumId w:val="2"/>
  </w:num>
  <w:num w:numId="40" w16cid:durableId="439574035">
    <w:abstractNumId w:val="1"/>
  </w:num>
  <w:num w:numId="41" w16cid:durableId="245650959">
    <w:abstractNumId w:val="0"/>
  </w:num>
  <w:num w:numId="42" w16cid:durableId="574167787">
    <w:abstractNumId w:val="24"/>
  </w:num>
  <w:num w:numId="43" w16cid:durableId="2021932453">
    <w:abstractNumId w:val="28"/>
  </w:num>
  <w:num w:numId="44" w16cid:durableId="272134479">
    <w:abstractNumId w:val="36"/>
  </w:num>
  <w:num w:numId="45" w16cid:durableId="157628082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0"/>
  <w:autoHyphenation/>
  <w:consecutiveHyphenLimit w:val="3"/>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4E4"/>
    <w:rsid w:val="000000E2"/>
    <w:rsid w:val="00000328"/>
    <w:rsid w:val="000008DA"/>
    <w:rsid w:val="00001395"/>
    <w:rsid w:val="000015AF"/>
    <w:rsid w:val="00001FBE"/>
    <w:rsid w:val="000020C2"/>
    <w:rsid w:val="000024FC"/>
    <w:rsid w:val="00002D67"/>
    <w:rsid w:val="0000301D"/>
    <w:rsid w:val="00003C70"/>
    <w:rsid w:val="00003D40"/>
    <w:rsid w:val="00004FE2"/>
    <w:rsid w:val="0000511D"/>
    <w:rsid w:val="000051B0"/>
    <w:rsid w:val="00005610"/>
    <w:rsid w:val="000060F2"/>
    <w:rsid w:val="00006A01"/>
    <w:rsid w:val="00006D45"/>
    <w:rsid w:val="0000726D"/>
    <w:rsid w:val="00010509"/>
    <w:rsid w:val="0001132E"/>
    <w:rsid w:val="00011A69"/>
    <w:rsid w:val="00013613"/>
    <w:rsid w:val="00013D4B"/>
    <w:rsid w:val="00014E09"/>
    <w:rsid w:val="00015BB6"/>
    <w:rsid w:val="00015DB1"/>
    <w:rsid w:val="00016A3C"/>
    <w:rsid w:val="00016A55"/>
    <w:rsid w:val="00016F7D"/>
    <w:rsid w:val="00017659"/>
    <w:rsid w:val="00017BD3"/>
    <w:rsid w:val="00017C99"/>
    <w:rsid w:val="000201E3"/>
    <w:rsid w:val="000202E6"/>
    <w:rsid w:val="000212FC"/>
    <w:rsid w:val="00021940"/>
    <w:rsid w:val="00021F51"/>
    <w:rsid w:val="00021FE6"/>
    <w:rsid w:val="00022BA3"/>
    <w:rsid w:val="00023DC8"/>
    <w:rsid w:val="0002427A"/>
    <w:rsid w:val="00024DC0"/>
    <w:rsid w:val="000253C0"/>
    <w:rsid w:val="00025BD3"/>
    <w:rsid w:val="000260CC"/>
    <w:rsid w:val="000272B7"/>
    <w:rsid w:val="000276E4"/>
    <w:rsid w:val="00027F89"/>
    <w:rsid w:val="000300CF"/>
    <w:rsid w:val="00030E24"/>
    <w:rsid w:val="000311A4"/>
    <w:rsid w:val="00031529"/>
    <w:rsid w:val="0003179C"/>
    <w:rsid w:val="00031901"/>
    <w:rsid w:val="00033E34"/>
    <w:rsid w:val="00034581"/>
    <w:rsid w:val="00035827"/>
    <w:rsid w:val="0003586B"/>
    <w:rsid w:val="00036420"/>
    <w:rsid w:val="000364EA"/>
    <w:rsid w:val="00036A27"/>
    <w:rsid w:val="00036A30"/>
    <w:rsid w:val="00036AE9"/>
    <w:rsid w:val="00036EE3"/>
    <w:rsid w:val="00036EF0"/>
    <w:rsid w:val="00036F02"/>
    <w:rsid w:val="0003756F"/>
    <w:rsid w:val="0003782C"/>
    <w:rsid w:val="00040C09"/>
    <w:rsid w:val="00041CA3"/>
    <w:rsid w:val="000420F3"/>
    <w:rsid w:val="00042230"/>
    <w:rsid w:val="00043026"/>
    <w:rsid w:val="00043EB3"/>
    <w:rsid w:val="000442E8"/>
    <w:rsid w:val="00044545"/>
    <w:rsid w:val="00044C15"/>
    <w:rsid w:val="000466E5"/>
    <w:rsid w:val="00046783"/>
    <w:rsid w:val="00046EEB"/>
    <w:rsid w:val="00046FFD"/>
    <w:rsid w:val="00047019"/>
    <w:rsid w:val="0004736C"/>
    <w:rsid w:val="00047495"/>
    <w:rsid w:val="00047962"/>
    <w:rsid w:val="00047E17"/>
    <w:rsid w:val="000502CF"/>
    <w:rsid w:val="0005061A"/>
    <w:rsid w:val="000512B3"/>
    <w:rsid w:val="00051560"/>
    <w:rsid w:val="00051754"/>
    <w:rsid w:val="00051A7C"/>
    <w:rsid w:val="00052CB4"/>
    <w:rsid w:val="00052E4C"/>
    <w:rsid w:val="00053024"/>
    <w:rsid w:val="0005325C"/>
    <w:rsid w:val="00053AF8"/>
    <w:rsid w:val="00054123"/>
    <w:rsid w:val="0005521B"/>
    <w:rsid w:val="00055604"/>
    <w:rsid w:val="00055E0E"/>
    <w:rsid w:val="000569E0"/>
    <w:rsid w:val="000572CA"/>
    <w:rsid w:val="000575A5"/>
    <w:rsid w:val="00057AE3"/>
    <w:rsid w:val="0006050D"/>
    <w:rsid w:val="000606C2"/>
    <w:rsid w:val="00060CD9"/>
    <w:rsid w:val="0006118D"/>
    <w:rsid w:val="00061D8D"/>
    <w:rsid w:val="00061FA8"/>
    <w:rsid w:val="00063666"/>
    <w:rsid w:val="00064067"/>
    <w:rsid w:val="00064C75"/>
    <w:rsid w:val="00065146"/>
    <w:rsid w:val="000654D7"/>
    <w:rsid w:val="00065D48"/>
    <w:rsid w:val="00065D80"/>
    <w:rsid w:val="0006658B"/>
    <w:rsid w:val="00066F25"/>
    <w:rsid w:val="000672AD"/>
    <w:rsid w:val="00067EBC"/>
    <w:rsid w:val="0007007E"/>
    <w:rsid w:val="0007069D"/>
    <w:rsid w:val="00070AD5"/>
    <w:rsid w:val="0007115C"/>
    <w:rsid w:val="00071E76"/>
    <w:rsid w:val="000720CA"/>
    <w:rsid w:val="000720DA"/>
    <w:rsid w:val="0007266E"/>
    <w:rsid w:val="00072E21"/>
    <w:rsid w:val="00073A88"/>
    <w:rsid w:val="00074DC2"/>
    <w:rsid w:val="00074F01"/>
    <w:rsid w:val="00076771"/>
    <w:rsid w:val="0007790F"/>
    <w:rsid w:val="00080059"/>
    <w:rsid w:val="000801E8"/>
    <w:rsid w:val="000802E8"/>
    <w:rsid w:val="00080376"/>
    <w:rsid w:val="00080BBB"/>
    <w:rsid w:val="0008179C"/>
    <w:rsid w:val="00081D68"/>
    <w:rsid w:val="0008233E"/>
    <w:rsid w:val="00082C5A"/>
    <w:rsid w:val="0008382D"/>
    <w:rsid w:val="00083D54"/>
    <w:rsid w:val="00083FA8"/>
    <w:rsid w:val="0008402C"/>
    <w:rsid w:val="00084740"/>
    <w:rsid w:val="00084776"/>
    <w:rsid w:val="000847A1"/>
    <w:rsid w:val="000848A8"/>
    <w:rsid w:val="00084AD6"/>
    <w:rsid w:val="0008704E"/>
    <w:rsid w:val="00087615"/>
    <w:rsid w:val="00090257"/>
    <w:rsid w:val="000903C9"/>
    <w:rsid w:val="00090F37"/>
    <w:rsid w:val="00090F44"/>
    <w:rsid w:val="00091445"/>
    <w:rsid w:val="00092903"/>
    <w:rsid w:val="00092C05"/>
    <w:rsid w:val="000935FB"/>
    <w:rsid w:val="000942A7"/>
    <w:rsid w:val="000950D2"/>
    <w:rsid w:val="0009524D"/>
    <w:rsid w:val="00095C44"/>
    <w:rsid w:val="00096007"/>
    <w:rsid w:val="000964D9"/>
    <w:rsid w:val="0009676E"/>
    <w:rsid w:val="00096A6F"/>
    <w:rsid w:val="0009735E"/>
    <w:rsid w:val="000A0C92"/>
    <w:rsid w:val="000A0E19"/>
    <w:rsid w:val="000A0E50"/>
    <w:rsid w:val="000A17B1"/>
    <w:rsid w:val="000A1BB4"/>
    <w:rsid w:val="000A221A"/>
    <w:rsid w:val="000A224C"/>
    <w:rsid w:val="000A2305"/>
    <w:rsid w:val="000A267C"/>
    <w:rsid w:val="000A2E37"/>
    <w:rsid w:val="000A36F0"/>
    <w:rsid w:val="000A4487"/>
    <w:rsid w:val="000A506E"/>
    <w:rsid w:val="000A5452"/>
    <w:rsid w:val="000A5941"/>
    <w:rsid w:val="000A5C7F"/>
    <w:rsid w:val="000A5FCC"/>
    <w:rsid w:val="000A6A1D"/>
    <w:rsid w:val="000A6CF9"/>
    <w:rsid w:val="000A7740"/>
    <w:rsid w:val="000A7A16"/>
    <w:rsid w:val="000B095A"/>
    <w:rsid w:val="000B0AB7"/>
    <w:rsid w:val="000B0D2E"/>
    <w:rsid w:val="000B1B86"/>
    <w:rsid w:val="000B234F"/>
    <w:rsid w:val="000B2628"/>
    <w:rsid w:val="000B2790"/>
    <w:rsid w:val="000B332B"/>
    <w:rsid w:val="000B36AC"/>
    <w:rsid w:val="000B3AA0"/>
    <w:rsid w:val="000B433A"/>
    <w:rsid w:val="000B43CD"/>
    <w:rsid w:val="000B44EE"/>
    <w:rsid w:val="000B45F6"/>
    <w:rsid w:val="000B461D"/>
    <w:rsid w:val="000B465A"/>
    <w:rsid w:val="000B47DB"/>
    <w:rsid w:val="000B56FE"/>
    <w:rsid w:val="000B582E"/>
    <w:rsid w:val="000B5FA6"/>
    <w:rsid w:val="000B6717"/>
    <w:rsid w:val="000B6B24"/>
    <w:rsid w:val="000B790F"/>
    <w:rsid w:val="000B7BB8"/>
    <w:rsid w:val="000C0807"/>
    <w:rsid w:val="000C0FE3"/>
    <w:rsid w:val="000C11BB"/>
    <w:rsid w:val="000C1F01"/>
    <w:rsid w:val="000C2B23"/>
    <w:rsid w:val="000C324A"/>
    <w:rsid w:val="000C3E34"/>
    <w:rsid w:val="000C3EFD"/>
    <w:rsid w:val="000C6C96"/>
    <w:rsid w:val="000C7580"/>
    <w:rsid w:val="000C7CD3"/>
    <w:rsid w:val="000D003B"/>
    <w:rsid w:val="000D06E0"/>
    <w:rsid w:val="000D078E"/>
    <w:rsid w:val="000D0CC4"/>
    <w:rsid w:val="000D0D65"/>
    <w:rsid w:val="000D1170"/>
    <w:rsid w:val="000D1F32"/>
    <w:rsid w:val="000D24C3"/>
    <w:rsid w:val="000D2625"/>
    <w:rsid w:val="000D267A"/>
    <w:rsid w:val="000D2B16"/>
    <w:rsid w:val="000D37D1"/>
    <w:rsid w:val="000D3F1C"/>
    <w:rsid w:val="000D4B51"/>
    <w:rsid w:val="000D4CE6"/>
    <w:rsid w:val="000D52AC"/>
    <w:rsid w:val="000D5958"/>
    <w:rsid w:val="000D70BF"/>
    <w:rsid w:val="000D7A9A"/>
    <w:rsid w:val="000E0910"/>
    <w:rsid w:val="000E0A6D"/>
    <w:rsid w:val="000E1148"/>
    <w:rsid w:val="000E16A6"/>
    <w:rsid w:val="000E1859"/>
    <w:rsid w:val="000E1CBF"/>
    <w:rsid w:val="000E20F6"/>
    <w:rsid w:val="000E293F"/>
    <w:rsid w:val="000E3578"/>
    <w:rsid w:val="000E3A8A"/>
    <w:rsid w:val="000E4B82"/>
    <w:rsid w:val="000E51AA"/>
    <w:rsid w:val="000E5670"/>
    <w:rsid w:val="000E571C"/>
    <w:rsid w:val="000E594B"/>
    <w:rsid w:val="000E6579"/>
    <w:rsid w:val="000F0192"/>
    <w:rsid w:val="000F02A6"/>
    <w:rsid w:val="000F13F5"/>
    <w:rsid w:val="000F153E"/>
    <w:rsid w:val="000F1948"/>
    <w:rsid w:val="000F21A1"/>
    <w:rsid w:val="000F21B4"/>
    <w:rsid w:val="000F2F52"/>
    <w:rsid w:val="000F38AF"/>
    <w:rsid w:val="000F40AA"/>
    <w:rsid w:val="000F46B3"/>
    <w:rsid w:val="000F473C"/>
    <w:rsid w:val="000F5E9E"/>
    <w:rsid w:val="000F613D"/>
    <w:rsid w:val="000F6BB5"/>
    <w:rsid w:val="00100A65"/>
    <w:rsid w:val="00100AF1"/>
    <w:rsid w:val="00100B7F"/>
    <w:rsid w:val="00100CF0"/>
    <w:rsid w:val="00100F5D"/>
    <w:rsid w:val="0010159E"/>
    <w:rsid w:val="00101FB9"/>
    <w:rsid w:val="00102039"/>
    <w:rsid w:val="00102B53"/>
    <w:rsid w:val="00102CCB"/>
    <w:rsid w:val="00103556"/>
    <w:rsid w:val="00103AB7"/>
    <w:rsid w:val="0010404B"/>
    <w:rsid w:val="00104253"/>
    <w:rsid w:val="001048AD"/>
    <w:rsid w:val="0010518B"/>
    <w:rsid w:val="00105427"/>
    <w:rsid w:val="0010567A"/>
    <w:rsid w:val="001057ED"/>
    <w:rsid w:val="00107898"/>
    <w:rsid w:val="001103C1"/>
    <w:rsid w:val="00110A9E"/>
    <w:rsid w:val="00110B01"/>
    <w:rsid w:val="00110BE8"/>
    <w:rsid w:val="00111EA1"/>
    <w:rsid w:val="00111FAC"/>
    <w:rsid w:val="00113354"/>
    <w:rsid w:val="00113671"/>
    <w:rsid w:val="0011369D"/>
    <w:rsid w:val="00114450"/>
    <w:rsid w:val="00114D0B"/>
    <w:rsid w:val="00116456"/>
    <w:rsid w:val="00116D45"/>
    <w:rsid w:val="00116EFE"/>
    <w:rsid w:val="00117145"/>
    <w:rsid w:val="00117205"/>
    <w:rsid w:val="00117CFE"/>
    <w:rsid w:val="001219F7"/>
    <w:rsid w:val="00121CED"/>
    <w:rsid w:val="00122F43"/>
    <w:rsid w:val="00122FF0"/>
    <w:rsid w:val="001239B1"/>
    <w:rsid w:val="00123C75"/>
    <w:rsid w:val="00124372"/>
    <w:rsid w:val="00124700"/>
    <w:rsid w:val="00124A4E"/>
    <w:rsid w:val="00124C25"/>
    <w:rsid w:val="00126FF5"/>
    <w:rsid w:val="00127031"/>
    <w:rsid w:val="001273BE"/>
    <w:rsid w:val="001275CE"/>
    <w:rsid w:val="0012767D"/>
    <w:rsid w:val="001300DF"/>
    <w:rsid w:val="00130683"/>
    <w:rsid w:val="0013122B"/>
    <w:rsid w:val="00131606"/>
    <w:rsid w:val="00131676"/>
    <w:rsid w:val="00131861"/>
    <w:rsid w:val="00132479"/>
    <w:rsid w:val="00132B24"/>
    <w:rsid w:val="00132B5A"/>
    <w:rsid w:val="0013302C"/>
    <w:rsid w:val="00133243"/>
    <w:rsid w:val="001339AF"/>
    <w:rsid w:val="00133BA7"/>
    <w:rsid w:val="001341CE"/>
    <w:rsid w:val="00134FD5"/>
    <w:rsid w:val="00135039"/>
    <w:rsid w:val="00135155"/>
    <w:rsid w:val="00137A19"/>
    <w:rsid w:val="001406FF"/>
    <w:rsid w:val="00140E73"/>
    <w:rsid w:val="0014148F"/>
    <w:rsid w:val="001423A6"/>
    <w:rsid w:val="0014259C"/>
    <w:rsid w:val="00142E3C"/>
    <w:rsid w:val="00144622"/>
    <w:rsid w:val="001448A6"/>
    <w:rsid w:val="00144AB5"/>
    <w:rsid w:val="001466AE"/>
    <w:rsid w:val="00146C79"/>
    <w:rsid w:val="00146F9A"/>
    <w:rsid w:val="001471A3"/>
    <w:rsid w:val="001472B5"/>
    <w:rsid w:val="0014742B"/>
    <w:rsid w:val="001476C2"/>
    <w:rsid w:val="00147C57"/>
    <w:rsid w:val="00150917"/>
    <w:rsid w:val="00151291"/>
    <w:rsid w:val="00151B35"/>
    <w:rsid w:val="00151F4C"/>
    <w:rsid w:val="00152389"/>
    <w:rsid w:val="00152AB8"/>
    <w:rsid w:val="001530DC"/>
    <w:rsid w:val="00153447"/>
    <w:rsid w:val="00153D44"/>
    <w:rsid w:val="00153FF5"/>
    <w:rsid w:val="001543F7"/>
    <w:rsid w:val="00154FE9"/>
    <w:rsid w:val="001555A0"/>
    <w:rsid w:val="00155FC8"/>
    <w:rsid w:val="00156120"/>
    <w:rsid w:val="00156787"/>
    <w:rsid w:val="001567D2"/>
    <w:rsid w:val="00156B28"/>
    <w:rsid w:val="00156D7A"/>
    <w:rsid w:val="00157190"/>
    <w:rsid w:val="001572C4"/>
    <w:rsid w:val="001579F2"/>
    <w:rsid w:val="0016086E"/>
    <w:rsid w:val="00160B19"/>
    <w:rsid w:val="00161A27"/>
    <w:rsid w:val="001626A7"/>
    <w:rsid w:val="0016277C"/>
    <w:rsid w:val="0016368C"/>
    <w:rsid w:val="00163984"/>
    <w:rsid w:val="00164EFE"/>
    <w:rsid w:val="001661A7"/>
    <w:rsid w:val="00167020"/>
    <w:rsid w:val="00167CC6"/>
    <w:rsid w:val="00167F2B"/>
    <w:rsid w:val="0017097E"/>
    <w:rsid w:val="00170C81"/>
    <w:rsid w:val="0017110A"/>
    <w:rsid w:val="0017110E"/>
    <w:rsid w:val="00172EA6"/>
    <w:rsid w:val="0017364F"/>
    <w:rsid w:val="00173693"/>
    <w:rsid w:val="001736BF"/>
    <w:rsid w:val="0017434B"/>
    <w:rsid w:val="001745C9"/>
    <w:rsid w:val="00175AF9"/>
    <w:rsid w:val="00176222"/>
    <w:rsid w:val="0017671F"/>
    <w:rsid w:val="001767A8"/>
    <w:rsid w:val="00176A1A"/>
    <w:rsid w:val="001771E9"/>
    <w:rsid w:val="00177524"/>
    <w:rsid w:val="0018051A"/>
    <w:rsid w:val="00180557"/>
    <w:rsid w:val="00180CB5"/>
    <w:rsid w:val="00180DC4"/>
    <w:rsid w:val="00180F9D"/>
    <w:rsid w:val="00181A28"/>
    <w:rsid w:val="00181B29"/>
    <w:rsid w:val="00181C67"/>
    <w:rsid w:val="00181CAA"/>
    <w:rsid w:val="001828F4"/>
    <w:rsid w:val="00183D0E"/>
    <w:rsid w:val="001859FF"/>
    <w:rsid w:val="00185FF2"/>
    <w:rsid w:val="00186E0A"/>
    <w:rsid w:val="0018711D"/>
    <w:rsid w:val="00187587"/>
    <w:rsid w:val="00187AED"/>
    <w:rsid w:val="0019061B"/>
    <w:rsid w:val="0019152D"/>
    <w:rsid w:val="00191D97"/>
    <w:rsid w:val="0019238B"/>
    <w:rsid w:val="00192F34"/>
    <w:rsid w:val="00193365"/>
    <w:rsid w:val="0019372F"/>
    <w:rsid w:val="001937A9"/>
    <w:rsid w:val="0019424C"/>
    <w:rsid w:val="0019467F"/>
    <w:rsid w:val="001948CD"/>
    <w:rsid w:val="00194C04"/>
    <w:rsid w:val="00195CE0"/>
    <w:rsid w:val="001963D6"/>
    <w:rsid w:val="0019670D"/>
    <w:rsid w:val="00196D7D"/>
    <w:rsid w:val="00197143"/>
    <w:rsid w:val="00197E17"/>
    <w:rsid w:val="001A1423"/>
    <w:rsid w:val="001A16B5"/>
    <w:rsid w:val="001A1D36"/>
    <w:rsid w:val="001A3273"/>
    <w:rsid w:val="001A3725"/>
    <w:rsid w:val="001A3C92"/>
    <w:rsid w:val="001A3E05"/>
    <w:rsid w:val="001A4297"/>
    <w:rsid w:val="001A4697"/>
    <w:rsid w:val="001A47C1"/>
    <w:rsid w:val="001A4A94"/>
    <w:rsid w:val="001A4CE6"/>
    <w:rsid w:val="001A50A0"/>
    <w:rsid w:val="001A61C7"/>
    <w:rsid w:val="001A67C9"/>
    <w:rsid w:val="001A6E68"/>
    <w:rsid w:val="001A6EB8"/>
    <w:rsid w:val="001A7155"/>
    <w:rsid w:val="001A71A2"/>
    <w:rsid w:val="001A7237"/>
    <w:rsid w:val="001A769B"/>
    <w:rsid w:val="001A7D0B"/>
    <w:rsid w:val="001B0583"/>
    <w:rsid w:val="001B0A20"/>
    <w:rsid w:val="001B1A4C"/>
    <w:rsid w:val="001B1F22"/>
    <w:rsid w:val="001B2130"/>
    <w:rsid w:val="001B25DC"/>
    <w:rsid w:val="001B2751"/>
    <w:rsid w:val="001B2A64"/>
    <w:rsid w:val="001B2E8B"/>
    <w:rsid w:val="001B316E"/>
    <w:rsid w:val="001B349B"/>
    <w:rsid w:val="001B3AAA"/>
    <w:rsid w:val="001B46B6"/>
    <w:rsid w:val="001B476F"/>
    <w:rsid w:val="001B4A63"/>
    <w:rsid w:val="001B51AF"/>
    <w:rsid w:val="001B52F1"/>
    <w:rsid w:val="001B5AA4"/>
    <w:rsid w:val="001B70FC"/>
    <w:rsid w:val="001B7257"/>
    <w:rsid w:val="001B77FB"/>
    <w:rsid w:val="001B7DFB"/>
    <w:rsid w:val="001C025A"/>
    <w:rsid w:val="001C0697"/>
    <w:rsid w:val="001C1176"/>
    <w:rsid w:val="001C164C"/>
    <w:rsid w:val="001C1E36"/>
    <w:rsid w:val="001C2192"/>
    <w:rsid w:val="001C333E"/>
    <w:rsid w:val="001C561E"/>
    <w:rsid w:val="001C58ED"/>
    <w:rsid w:val="001C5928"/>
    <w:rsid w:val="001C59B2"/>
    <w:rsid w:val="001C6FAB"/>
    <w:rsid w:val="001D0015"/>
    <w:rsid w:val="001D1E95"/>
    <w:rsid w:val="001D2751"/>
    <w:rsid w:val="001D4A43"/>
    <w:rsid w:val="001D5195"/>
    <w:rsid w:val="001D5736"/>
    <w:rsid w:val="001D5932"/>
    <w:rsid w:val="001D604E"/>
    <w:rsid w:val="001D68A1"/>
    <w:rsid w:val="001D6EF9"/>
    <w:rsid w:val="001E002F"/>
    <w:rsid w:val="001E00C9"/>
    <w:rsid w:val="001E03F3"/>
    <w:rsid w:val="001E042C"/>
    <w:rsid w:val="001E05A8"/>
    <w:rsid w:val="001E19A1"/>
    <w:rsid w:val="001E290B"/>
    <w:rsid w:val="001E2EB8"/>
    <w:rsid w:val="001E3713"/>
    <w:rsid w:val="001E379D"/>
    <w:rsid w:val="001E3CD0"/>
    <w:rsid w:val="001E42C7"/>
    <w:rsid w:val="001E4D5C"/>
    <w:rsid w:val="001E5015"/>
    <w:rsid w:val="001E62DE"/>
    <w:rsid w:val="001E65F7"/>
    <w:rsid w:val="001E6879"/>
    <w:rsid w:val="001E69B9"/>
    <w:rsid w:val="001E6E83"/>
    <w:rsid w:val="001E7026"/>
    <w:rsid w:val="001F0757"/>
    <w:rsid w:val="001F082C"/>
    <w:rsid w:val="001F17B8"/>
    <w:rsid w:val="001F1F47"/>
    <w:rsid w:val="001F3665"/>
    <w:rsid w:val="001F3C0B"/>
    <w:rsid w:val="001F3D34"/>
    <w:rsid w:val="001F4F38"/>
    <w:rsid w:val="001F548F"/>
    <w:rsid w:val="001F60F5"/>
    <w:rsid w:val="001F6A66"/>
    <w:rsid w:val="001F6ACA"/>
    <w:rsid w:val="001F720B"/>
    <w:rsid w:val="002005F6"/>
    <w:rsid w:val="00201374"/>
    <w:rsid w:val="002024CA"/>
    <w:rsid w:val="002029D1"/>
    <w:rsid w:val="00202B7E"/>
    <w:rsid w:val="00202EFC"/>
    <w:rsid w:val="0020303E"/>
    <w:rsid w:val="002042B0"/>
    <w:rsid w:val="00204B69"/>
    <w:rsid w:val="00204C0A"/>
    <w:rsid w:val="00204DE3"/>
    <w:rsid w:val="00206F68"/>
    <w:rsid w:val="00207BD3"/>
    <w:rsid w:val="00210207"/>
    <w:rsid w:val="0021062B"/>
    <w:rsid w:val="002116E8"/>
    <w:rsid w:val="00211A34"/>
    <w:rsid w:val="00211BA4"/>
    <w:rsid w:val="00211BB1"/>
    <w:rsid w:val="00212082"/>
    <w:rsid w:val="00212108"/>
    <w:rsid w:val="00214230"/>
    <w:rsid w:val="00214805"/>
    <w:rsid w:val="002150FE"/>
    <w:rsid w:val="002152CF"/>
    <w:rsid w:val="002165EF"/>
    <w:rsid w:val="0021666D"/>
    <w:rsid w:val="00216A6E"/>
    <w:rsid w:val="00216B1E"/>
    <w:rsid w:val="0021712F"/>
    <w:rsid w:val="00221FBC"/>
    <w:rsid w:val="00222234"/>
    <w:rsid w:val="002231F0"/>
    <w:rsid w:val="002237FA"/>
    <w:rsid w:val="00223AFB"/>
    <w:rsid w:val="00223C45"/>
    <w:rsid w:val="00223D0B"/>
    <w:rsid w:val="0022401C"/>
    <w:rsid w:val="00224162"/>
    <w:rsid w:val="002242DD"/>
    <w:rsid w:val="0022434B"/>
    <w:rsid w:val="00224A48"/>
    <w:rsid w:val="00226FAA"/>
    <w:rsid w:val="00226FF1"/>
    <w:rsid w:val="00227777"/>
    <w:rsid w:val="002308DE"/>
    <w:rsid w:val="00230990"/>
    <w:rsid w:val="0023308A"/>
    <w:rsid w:val="002332B8"/>
    <w:rsid w:val="00233B7A"/>
    <w:rsid w:val="002342B4"/>
    <w:rsid w:val="002348A8"/>
    <w:rsid w:val="00234A0A"/>
    <w:rsid w:val="00235F6E"/>
    <w:rsid w:val="00236384"/>
    <w:rsid w:val="0023669A"/>
    <w:rsid w:val="0023686D"/>
    <w:rsid w:val="00236F10"/>
    <w:rsid w:val="00236FE1"/>
    <w:rsid w:val="00237C36"/>
    <w:rsid w:val="00237DF7"/>
    <w:rsid w:val="002401FD"/>
    <w:rsid w:val="00240223"/>
    <w:rsid w:val="002402C5"/>
    <w:rsid w:val="002407A2"/>
    <w:rsid w:val="00240967"/>
    <w:rsid w:val="00241A97"/>
    <w:rsid w:val="00241BA6"/>
    <w:rsid w:val="00241D13"/>
    <w:rsid w:val="00242592"/>
    <w:rsid w:val="00242927"/>
    <w:rsid w:val="00242996"/>
    <w:rsid w:val="0024563B"/>
    <w:rsid w:val="00245D9E"/>
    <w:rsid w:val="00245F20"/>
    <w:rsid w:val="002467AD"/>
    <w:rsid w:val="002503DD"/>
    <w:rsid w:val="002504A5"/>
    <w:rsid w:val="0025055B"/>
    <w:rsid w:val="00250E24"/>
    <w:rsid w:val="0025133B"/>
    <w:rsid w:val="00251607"/>
    <w:rsid w:val="0025168E"/>
    <w:rsid w:val="00251C3D"/>
    <w:rsid w:val="0025335C"/>
    <w:rsid w:val="0025404F"/>
    <w:rsid w:val="00254198"/>
    <w:rsid w:val="00254546"/>
    <w:rsid w:val="00254E7F"/>
    <w:rsid w:val="002556B3"/>
    <w:rsid w:val="00256352"/>
    <w:rsid w:val="00256386"/>
    <w:rsid w:val="00256FEF"/>
    <w:rsid w:val="002603A1"/>
    <w:rsid w:val="00260F0E"/>
    <w:rsid w:val="0026105B"/>
    <w:rsid w:val="002613CA"/>
    <w:rsid w:val="0026197E"/>
    <w:rsid w:val="002627DB"/>
    <w:rsid w:val="00262E7B"/>
    <w:rsid w:val="00262FC6"/>
    <w:rsid w:val="00263735"/>
    <w:rsid w:val="00263874"/>
    <w:rsid w:val="00263ED5"/>
    <w:rsid w:val="00264889"/>
    <w:rsid w:val="00264E97"/>
    <w:rsid w:val="002651BD"/>
    <w:rsid w:val="00265606"/>
    <w:rsid w:val="0026639C"/>
    <w:rsid w:val="0027155A"/>
    <w:rsid w:val="0027181E"/>
    <w:rsid w:val="00271B7D"/>
    <w:rsid w:val="00272C77"/>
    <w:rsid w:val="00272DDE"/>
    <w:rsid w:val="00272F74"/>
    <w:rsid w:val="00273082"/>
    <w:rsid w:val="00273225"/>
    <w:rsid w:val="0027324C"/>
    <w:rsid w:val="00273AB5"/>
    <w:rsid w:val="002746DE"/>
    <w:rsid w:val="00275FA4"/>
    <w:rsid w:val="0027719B"/>
    <w:rsid w:val="002775D6"/>
    <w:rsid w:val="00277F3C"/>
    <w:rsid w:val="00280125"/>
    <w:rsid w:val="002824CE"/>
    <w:rsid w:val="00284C10"/>
    <w:rsid w:val="00284D80"/>
    <w:rsid w:val="00284E90"/>
    <w:rsid w:val="0028519B"/>
    <w:rsid w:val="002852C0"/>
    <w:rsid w:val="00285674"/>
    <w:rsid w:val="00285731"/>
    <w:rsid w:val="00285B86"/>
    <w:rsid w:val="0028674E"/>
    <w:rsid w:val="00287600"/>
    <w:rsid w:val="0028765A"/>
    <w:rsid w:val="00287667"/>
    <w:rsid w:val="00287A0A"/>
    <w:rsid w:val="00287A45"/>
    <w:rsid w:val="0029065A"/>
    <w:rsid w:val="0029075E"/>
    <w:rsid w:val="00290D90"/>
    <w:rsid w:val="00291301"/>
    <w:rsid w:val="002916E5"/>
    <w:rsid w:val="00293327"/>
    <w:rsid w:val="00293853"/>
    <w:rsid w:val="00294811"/>
    <w:rsid w:val="00294E34"/>
    <w:rsid w:val="002965A0"/>
    <w:rsid w:val="00296B88"/>
    <w:rsid w:val="00297399"/>
    <w:rsid w:val="002A158B"/>
    <w:rsid w:val="002A171B"/>
    <w:rsid w:val="002A2186"/>
    <w:rsid w:val="002A2A5A"/>
    <w:rsid w:val="002A30BA"/>
    <w:rsid w:val="002A367F"/>
    <w:rsid w:val="002A3940"/>
    <w:rsid w:val="002A3F00"/>
    <w:rsid w:val="002A46A4"/>
    <w:rsid w:val="002A4B06"/>
    <w:rsid w:val="002A5611"/>
    <w:rsid w:val="002A5A3F"/>
    <w:rsid w:val="002A5D4D"/>
    <w:rsid w:val="002A7179"/>
    <w:rsid w:val="002A7BA2"/>
    <w:rsid w:val="002B0195"/>
    <w:rsid w:val="002B06CC"/>
    <w:rsid w:val="002B195F"/>
    <w:rsid w:val="002B1C3E"/>
    <w:rsid w:val="002B352F"/>
    <w:rsid w:val="002B3EC3"/>
    <w:rsid w:val="002B532A"/>
    <w:rsid w:val="002B5439"/>
    <w:rsid w:val="002B57C1"/>
    <w:rsid w:val="002B5D68"/>
    <w:rsid w:val="002B5D91"/>
    <w:rsid w:val="002B6035"/>
    <w:rsid w:val="002B6DDE"/>
    <w:rsid w:val="002C02EB"/>
    <w:rsid w:val="002C0772"/>
    <w:rsid w:val="002C0DF1"/>
    <w:rsid w:val="002C101C"/>
    <w:rsid w:val="002C12D1"/>
    <w:rsid w:val="002C29BC"/>
    <w:rsid w:val="002C2A88"/>
    <w:rsid w:val="002C3359"/>
    <w:rsid w:val="002C49FD"/>
    <w:rsid w:val="002C52F3"/>
    <w:rsid w:val="002C68B9"/>
    <w:rsid w:val="002C6B35"/>
    <w:rsid w:val="002C6B47"/>
    <w:rsid w:val="002C6E72"/>
    <w:rsid w:val="002C73F8"/>
    <w:rsid w:val="002C7A78"/>
    <w:rsid w:val="002C7AB8"/>
    <w:rsid w:val="002D1FD4"/>
    <w:rsid w:val="002D20BA"/>
    <w:rsid w:val="002D21EF"/>
    <w:rsid w:val="002D2425"/>
    <w:rsid w:val="002D2CB1"/>
    <w:rsid w:val="002D2CE2"/>
    <w:rsid w:val="002D316E"/>
    <w:rsid w:val="002D3993"/>
    <w:rsid w:val="002D3D0F"/>
    <w:rsid w:val="002D621F"/>
    <w:rsid w:val="002D6750"/>
    <w:rsid w:val="002D6E14"/>
    <w:rsid w:val="002E071F"/>
    <w:rsid w:val="002E0D55"/>
    <w:rsid w:val="002E1695"/>
    <w:rsid w:val="002E1957"/>
    <w:rsid w:val="002E1D93"/>
    <w:rsid w:val="002E34E3"/>
    <w:rsid w:val="002E39CD"/>
    <w:rsid w:val="002E3E71"/>
    <w:rsid w:val="002E5631"/>
    <w:rsid w:val="002E5C7F"/>
    <w:rsid w:val="002E6159"/>
    <w:rsid w:val="002E6535"/>
    <w:rsid w:val="002E658D"/>
    <w:rsid w:val="002E6610"/>
    <w:rsid w:val="002E7019"/>
    <w:rsid w:val="002E77EF"/>
    <w:rsid w:val="002F00CA"/>
    <w:rsid w:val="002F0D22"/>
    <w:rsid w:val="002F0E1D"/>
    <w:rsid w:val="002F0E5A"/>
    <w:rsid w:val="002F10A9"/>
    <w:rsid w:val="002F1600"/>
    <w:rsid w:val="002F2464"/>
    <w:rsid w:val="002F2B24"/>
    <w:rsid w:val="002F40B1"/>
    <w:rsid w:val="002F4FC5"/>
    <w:rsid w:val="002F513F"/>
    <w:rsid w:val="002F5212"/>
    <w:rsid w:val="002F5897"/>
    <w:rsid w:val="002F6205"/>
    <w:rsid w:val="002F6382"/>
    <w:rsid w:val="002F6A1D"/>
    <w:rsid w:val="002F71C6"/>
    <w:rsid w:val="002F7214"/>
    <w:rsid w:val="002F72D4"/>
    <w:rsid w:val="00300768"/>
    <w:rsid w:val="00301EF2"/>
    <w:rsid w:val="00301FA6"/>
    <w:rsid w:val="00301FEF"/>
    <w:rsid w:val="00302383"/>
    <w:rsid w:val="003029F2"/>
    <w:rsid w:val="00302DD4"/>
    <w:rsid w:val="0030327C"/>
    <w:rsid w:val="003033D7"/>
    <w:rsid w:val="00303864"/>
    <w:rsid w:val="00304080"/>
    <w:rsid w:val="00304A29"/>
    <w:rsid w:val="00305009"/>
    <w:rsid w:val="00305AE3"/>
    <w:rsid w:val="00305B32"/>
    <w:rsid w:val="00305CC2"/>
    <w:rsid w:val="00305E2A"/>
    <w:rsid w:val="0030706D"/>
    <w:rsid w:val="00307112"/>
    <w:rsid w:val="00307A13"/>
    <w:rsid w:val="0031007A"/>
    <w:rsid w:val="00310102"/>
    <w:rsid w:val="0031064F"/>
    <w:rsid w:val="003119A5"/>
    <w:rsid w:val="00311AA3"/>
    <w:rsid w:val="00311B71"/>
    <w:rsid w:val="00312C7F"/>
    <w:rsid w:val="00313063"/>
    <w:rsid w:val="0031330B"/>
    <w:rsid w:val="00313812"/>
    <w:rsid w:val="00313B83"/>
    <w:rsid w:val="00314816"/>
    <w:rsid w:val="00314932"/>
    <w:rsid w:val="00315A41"/>
    <w:rsid w:val="00315AEF"/>
    <w:rsid w:val="00315CD5"/>
    <w:rsid w:val="003167AB"/>
    <w:rsid w:val="00317174"/>
    <w:rsid w:val="00317E3E"/>
    <w:rsid w:val="00320616"/>
    <w:rsid w:val="00320644"/>
    <w:rsid w:val="00321311"/>
    <w:rsid w:val="00321C2D"/>
    <w:rsid w:val="00321DC4"/>
    <w:rsid w:val="003223FE"/>
    <w:rsid w:val="00322A63"/>
    <w:rsid w:val="00323394"/>
    <w:rsid w:val="0032400B"/>
    <w:rsid w:val="00324AA4"/>
    <w:rsid w:val="00324F2E"/>
    <w:rsid w:val="00325A6D"/>
    <w:rsid w:val="00325BE6"/>
    <w:rsid w:val="00325EFC"/>
    <w:rsid w:val="00326575"/>
    <w:rsid w:val="003269AB"/>
    <w:rsid w:val="003271FB"/>
    <w:rsid w:val="00327282"/>
    <w:rsid w:val="00327431"/>
    <w:rsid w:val="003276A7"/>
    <w:rsid w:val="003279F6"/>
    <w:rsid w:val="003301A5"/>
    <w:rsid w:val="003308A5"/>
    <w:rsid w:val="00331F46"/>
    <w:rsid w:val="00332016"/>
    <w:rsid w:val="003328B7"/>
    <w:rsid w:val="00332DC6"/>
    <w:rsid w:val="00333BFA"/>
    <w:rsid w:val="003342FF"/>
    <w:rsid w:val="00334338"/>
    <w:rsid w:val="00334A4B"/>
    <w:rsid w:val="003355BE"/>
    <w:rsid w:val="00336E86"/>
    <w:rsid w:val="00337348"/>
    <w:rsid w:val="00337939"/>
    <w:rsid w:val="00337EF7"/>
    <w:rsid w:val="0034013E"/>
    <w:rsid w:val="0034084A"/>
    <w:rsid w:val="0034125A"/>
    <w:rsid w:val="0034151B"/>
    <w:rsid w:val="0034263E"/>
    <w:rsid w:val="00342ED3"/>
    <w:rsid w:val="00343424"/>
    <w:rsid w:val="003438B6"/>
    <w:rsid w:val="00343E18"/>
    <w:rsid w:val="003442A5"/>
    <w:rsid w:val="00344B1F"/>
    <w:rsid w:val="00344C64"/>
    <w:rsid w:val="00345721"/>
    <w:rsid w:val="0034595A"/>
    <w:rsid w:val="00345BCE"/>
    <w:rsid w:val="00345F4B"/>
    <w:rsid w:val="0034645C"/>
    <w:rsid w:val="00346871"/>
    <w:rsid w:val="0034700B"/>
    <w:rsid w:val="00347FEC"/>
    <w:rsid w:val="003500CD"/>
    <w:rsid w:val="0035148F"/>
    <w:rsid w:val="00351592"/>
    <w:rsid w:val="0035229C"/>
    <w:rsid w:val="003529F1"/>
    <w:rsid w:val="003530C3"/>
    <w:rsid w:val="00353ADE"/>
    <w:rsid w:val="00353DD1"/>
    <w:rsid w:val="00353FFE"/>
    <w:rsid w:val="0035400E"/>
    <w:rsid w:val="00354608"/>
    <w:rsid w:val="00354699"/>
    <w:rsid w:val="00354787"/>
    <w:rsid w:val="00354B67"/>
    <w:rsid w:val="00355DE8"/>
    <w:rsid w:val="00356822"/>
    <w:rsid w:val="00357507"/>
    <w:rsid w:val="003614EA"/>
    <w:rsid w:val="00361BBA"/>
    <w:rsid w:val="00362583"/>
    <w:rsid w:val="00362A16"/>
    <w:rsid w:val="00363502"/>
    <w:rsid w:val="00364D9D"/>
    <w:rsid w:val="00365A3C"/>
    <w:rsid w:val="00367C3B"/>
    <w:rsid w:val="00370ECD"/>
    <w:rsid w:val="0037132D"/>
    <w:rsid w:val="00371354"/>
    <w:rsid w:val="0037189F"/>
    <w:rsid w:val="00371F34"/>
    <w:rsid w:val="00371FC4"/>
    <w:rsid w:val="00372589"/>
    <w:rsid w:val="00373094"/>
    <w:rsid w:val="003734EF"/>
    <w:rsid w:val="0037376E"/>
    <w:rsid w:val="003738F5"/>
    <w:rsid w:val="00373B12"/>
    <w:rsid w:val="00373B5A"/>
    <w:rsid w:val="00376341"/>
    <w:rsid w:val="003768AC"/>
    <w:rsid w:val="00376BA0"/>
    <w:rsid w:val="003809F8"/>
    <w:rsid w:val="003810CD"/>
    <w:rsid w:val="00381376"/>
    <w:rsid w:val="00381F7D"/>
    <w:rsid w:val="0038200E"/>
    <w:rsid w:val="00382119"/>
    <w:rsid w:val="0038241F"/>
    <w:rsid w:val="00382430"/>
    <w:rsid w:val="00382D5B"/>
    <w:rsid w:val="00383386"/>
    <w:rsid w:val="00383477"/>
    <w:rsid w:val="00383795"/>
    <w:rsid w:val="003839A0"/>
    <w:rsid w:val="00384CC5"/>
    <w:rsid w:val="00384EBF"/>
    <w:rsid w:val="00386087"/>
    <w:rsid w:val="00386759"/>
    <w:rsid w:val="00386DC1"/>
    <w:rsid w:val="0038763F"/>
    <w:rsid w:val="00387684"/>
    <w:rsid w:val="0038794E"/>
    <w:rsid w:val="00390842"/>
    <w:rsid w:val="00391571"/>
    <w:rsid w:val="0039157B"/>
    <w:rsid w:val="00391995"/>
    <w:rsid w:val="003926A4"/>
    <w:rsid w:val="003938EA"/>
    <w:rsid w:val="003945B1"/>
    <w:rsid w:val="003946D5"/>
    <w:rsid w:val="00394896"/>
    <w:rsid w:val="003953EB"/>
    <w:rsid w:val="003955D4"/>
    <w:rsid w:val="003964C2"/>
    <w:rsid w:val="003967F0"/>
    <w:rsid w:val="003978AE"/>
    <w:rsid w:val="003A0B42"/>
    <w:rsid w:val="003A1498"/>
    <w:rsid w:val="003A179E"/>
    <w:rsid w:val="003A180E"/>
    <w:rsid w:val="003A1997"/>
    <w:rsid w:val="003A1CBF"/>
    <w:rsid w:val="003A216B"/>
    <w:rsid w:val="003A2938"/>
    <w:rsid w:val="003A2D87"/>
    <w:rsid w:val="003A3490"/>
    <w:rsid w:val="003A38EB"/>
    <w:rsid w:val="003A3CC3"/>
    <w:rsid w:val="003A4EF0"/>
    <w:rsid w:val="003A51A0"/>
    <w:rsid w:val="003A5559"/>
    <w:rsid w:val="003A5DA6"/>
    <w:rsid w:val="003A6236"/>
    <w:rsid w:val="003A64D3"/>
    <w:rsid w:val="003A72CD"/>
    <w:rsid w:val="003A74CA"/>
    <w:rsid w:val="003B2875"/>
    <w:rsid w:val="003B3382"/>
    <w:rsid w:val="003B3EE5"/>
    <w:rsid w:val="003B40BD"/>
    <w:rsid w:val="003B5E98"/>
    <w:rsid w:val="003B619C"/>
    <w:rsid w:val="003B69CA"/>
    <w:rsid w:val="003B6BA8"/>
    <w:rsid w:val="003B7085"/>
    <w:rsid w:val="003C018E"/>
    <w:rsid w:val="003C04CB"/>
    <w:rsid w:val="003C075B"/>
    <w:rsid w:val="003C0AD6"/>
    <w:rsid w:val="003C0FC7"/>
    <w:rsid w:val="003C1B9F"/>
    <w:rsid w:val="003C24C2"/>
    <w:rsid w:val="003C24F0"/>
    <w:rsid w:val="003C2574"/>
    <w:rsid w:val="003C35D1"/>
    <w:rsid w:val="003C3D45"/>
    <w:rsid w:val="003C44DE"/>
    <w:rsid w:val="003C4BA9"/>
    <w:rsid w:val="003C4EBC"/>
    <w:rsid w:val="003C4FB3"/>
    <w:rsid w:val="003C5157"/>
    <w:rsid w:val="003C5712"/>
    <w:rsid w:val="003C5997"/>
    <w:rsid w:val="003C5A23"/>
    <w:rsid w:val="003C5B56"/>
    <w:rsid w:val="003C61FE"/>
    <w:rsid w:val="003C7733"/>
    <w:rsid w:val="003C7BE7"/>
    <w:rsid w:val="003D15D1"/>
    <w:rsid w:val="003D171E"/>
    <w:rsid w:val="003D1DA4"/>
    <w:rsid w:val="003D27AA"/>
    <w:rsid w:val="003D28B6"/>
    <w:rsid w:val="003D2B28"/>
    <w:rsid w:val="003D2D99"/>
    <w:rsid w:val="003D2EE6"/>
    <w:rsid w:val="003D3179"/>
    <w:rsid w:val="003D335E"/>
    <w:rsid w:val="003D3381"/>
    <w:rsid w:val="003D3E74"/>
    <w:rsid w:val="003D4120"/>
    <w:rsid w:val="003D47D0"/>
    <w:rsid w:val="003D4D22"/>
    <w:rsid w:val="003D4FF1"/>
    <w:rsid w:val="003D51E5"/>
    <w:rsid w:val="003D6987"/>
    <w:rsid w:val="003D6C3B"/>
    <w:rsid w:val="003D6D76"/>
    <w:rsid w:val="003D6F95"/>
    <w:rsid w:val="003D7DE0"/>
    <w:rsid w:val="003D7FE7"/>
    <w:rsid w:val="003E0087"/>
    <w:rsid w:val="003E03A5"/>
    <w:rsid w:val="003E0941"/>
    <w:rsid w:val="003E15FD"/>
    <w:rsid w:val="003E16DC"/>
    <w:rsid w:val="003E2261"/>
    <w:rsid w:val="003E260A"/>
    <w:rsid w:val="003E327A"/>
    <w:rsid w:val="003E3901"/>
    <w:rsid w:val="003E4265"/>
    <w:rsid w:val="003E42E3"/>
    <w:rsid w:val="003E441E"/>
    <w:rsid w:val="003E5795"/>
    <w:rsid w:val="003E5A84"/>
    <w:rsid w:val="003E5FCF"/>
    <w:rsid w:val="003E6202"/>
    <w:rsid w:val="003E6B3D"/>
    <w:rsid w:val="003E6DAB"/>
    <w:rsid w:val="003E71FA"/>
    <w:rsid w:val="003E729F"/>
    <w:rsid w:val="003E76AC"/>
    <w:rsid w:val="003E777D"/>
    <w:rsid w:val="003E7B81"/>
    <w:rsid w:val="003F0107"/>
    <w:rsid w:val="003F062D"/>
    <w:rsid w:val="003F1196"/>
    <w:rsid w:val="003F16BC"/>
    <w:rsid w:val="003F1C82"/>
    <w:rsid w:val="003F1D1A"/>
    <w:rsid w:val="003F3226"/>
    <w:rsid w:val="003F3270"/>
    <w:rsid w:val="003F3F22"/>
    <w:rsid w:val="003F50F5"/>
    <w:rsid w:val="003F54E9"/>
    <w:rsid w:val="003F565C"/>
    <w:rsid w:val="003F56FA"/>
    <w:rsid w:val="003F5BC4"/>
    <w:rsid w:val="003F6219"/>
    <w:rsid w:val="003F6D0E"/>
    <w:rsid w:val="003F7D38"/>
    <w:rsid w:val="003F7DEA"/>
    <w:rsid w:val="00400208"/>
    <w:rsid w:val="004006B2"/>
    <w:rsid w:val="004008B6"/>
    <w:rsid w:val="00400945"/>
    <w:rsid w:val="00402F27"/>
    <w:rsid w:val="004034E0"/>
    <w:rsid w:val="0040353E"/>
    <w:rsid w:val="00403EC1"/>
    <w:rsid w:val="004040F0"/>
    <w:rsid w:val="00405122"/>
    <w:rsid w:val="004054BE"/>
    <w:rsid w:val="004068C9"/>
    <w:rsid w:val="00411AE1"/>
    <w:rsid w:val="00411C04"/>
    <w:rsid w:val="00411DD1"/>
    <w:rsid w:val="00411FF7"/>
    <w:rsid w:val="00413595"/>
    <w:rsid w:val="00413807"/>
    <w:rsid w:val="0041471B"/>
    <w:rsid w:val="00414757"/>
    <w:rsid w:val="00415303"/>
    <w:rsid w:val="00415CE4"/>
    <w:rsid w:val="0041665F"/>
    <w:rsid w:val="0041683E"/>
    <w:rsid w:val="00416AB3"/>
    <w:rsid w:val="00416B40"/>
    <w:rsid w:val="00417003"/>
    <w:rsid w:val="00417234"/>
    <w:rsid w:val="00417839"/>
    <w:rsid w:val="00417C4C"/>
    <w:rsid w:val="0042005E"/>
    <w:rsid w:val="004203C2"/>
    <w:rsid w:val="00420CC3"/>
    <w:rsid w:val="004219A4"/>
    <w:rsid w:val="00421A58"/>
    <w:rsid w:val="00421B86"/>
    <w:rsid w:val="004221FC"/>
    <w:rsid w:val="004246DF"/>
    <w:rsid w:val="00424FC5"/>
    <w:rsid w:val="004250D1"/>
    <w:rsid w:val="00425CE5"/>
    <w:rsid w:val="004260A2"/>
    <w:rsid w:val="0042714C"/>
    <w:rsid w:val="0042756D"/>
    <w:rsid w:val="00427A86"/>
    <w:rsid w:val="00430EDB"/>
    <w:rsid w:val="00431AC5"/>
    <w:rsid w:val="00431BF8"/>
    <w:rsid w:val="00431CEC"/>
    <w:rsid w:val="00432759"/>
    <w:rsid w:val="0043352D"/>
    <w:rsid w:val="0043358F"/>
    <w:rsid w:val="004341F5"/>
    <w:rsid w:val="00434410"/>
    <w:rsid w:val="0043452E"/>
    <w:rsid w:val="00434930"/>
    <w:rsid w:val="00434C6D"/>
    <w:rsid w:val="00434E7B"/>
    <w:rsid w:val="00435745"/>
    <w:rsid w:val="00435CFF"/>
    <w:rsid w:val="00435E63"/>
    <w:rsid w:val="00437602"/>
    <w:rsid w:val="00437857"/>
    <w:rsid w:val="00437EB9"/>
    <w:rsid w:val="00442E6C"/>
    <w:rsid w:val="004435E8"/>
    <w:rsid w:val="0044411B"/>
    <w:rsid w:val="004442C9"/>
    <w:rsid w:val="00444354"/>
    <w:rsid w:val="004455C5"/>
    <w:rsid w:val="00445819"/>
    <w:rsid w:val="004459B3"/>
    <w:rsid w:val="00445AF0"/>
    <w:rsid w:val="00446B42"/>
    <w:rsid w:val="00446D5F"/>
    <w:rsid w:val="0045011E"/>
    <w:rsid w:val="00450134"/>
    <w:rsid w:val="0045013C"/>
    <w:rsid w:val="00450EE0"/>
    <w:rsid w:val="0045186C"/>
    <w:rsid w:val="00451D1E"/>
    <w:rsid w:val="0045222B"/>
    <w:rsid w:val="00452551"/>
    <w:rsid w:val="0045307E"/>
    <w:rsid w:val="00453A76"/>
    <w:rsid w:val="00453B7E"/>
    <w:rsid w:val="00453E7C"/>
    <w:rsid w:val="00454D94"/>
    <w:rsid w:val="0045549E"/>
    <w:rsid w:val="004554B6"/>
    <w:rsid w:val="00456BDD"/>
    <w:rsid w:val="00457298"/>
    <w:rsid w:val="00457721"/>
    <w:rsid w:val="0045786C"/>
    <w:rsid w:val="00457A21"/>
    <w:rsid w:val="00460213"/>
    <w:rsid w:val="004611DD"/>
    <w:rsid w:val="00461355"/>
    <w:rsid w:val="004617D6"/>
    <w:rsid w:val="00461EE2"/>
    <w:rsid w:val="00462015"/>
    <w:rsid w:val="004641F4"/>
    <w:rsid w:val="00464473"/>
    <w:rsid w:val="004644C4"/>
    <w:rsid w:val="00465272"/>
    <w:rsid w:val="00465F23"/>
    <w:rsid w:val="00466732"/>
    <w:rsid w:val="004670BB"/>
    <w:rsid w:val="0047032D"/>
    <w:rsid w:val="00471243"/>
    <w:rsid w:val="00471F86"/>
    <w:rsid w:val="004721A4"/>
    <w:rsid w:val="00473C12"/>
    <w:rsid w:val="00475054"/>
    <w:rsid w:val="00475D9B"/>
    <w:rsid w:val="0047754D"/>
    <w:rsid w:val="0047787D"/>
    <w:rsid w:val="00477DF7"/>
    <w:rsid w:val="004813F4"/>
    <w:rsid w:val="004818D5"/>
    <w:rsid w:val="00481945"/>
    <w:rsid w:val="00481F23"/>
    <w:rsid w:val="00482CF5"/>
    <w:rsid w:val="0048300A"/>
    <w:rsid w:val="00483273"/>
    <w:rsid w:val="00483958"/>
    <w:rsid w:val="00484037"/>
    <w:rsid w:val="00485613"/>
    <w:rsid w:val="00485BA7"/>
    <w:rsid w:val="00485C4E"/>
    <w:rsid w:val="0048626C"/>
    <w:rsid w:val="004862F6"/>
    <w:rsid w:val="004865C6"/>
    <w:rsid w:val="00487E37"/>
    <w:rsid w:val="00490851"/>
    <w:rsid w:val="0049113E"/>
    <w:rsid w:val="004918F7"/>
    <w:rsid w:val="00491D77"/>
    <w:rsid w:val="0049213A"/>
    <w:rsid w:val="004922E6"/>
    <w:rsid w:val="004924D0"/>
    <w:rsid w:val="00492930"/>
    <w:rsid w:val="00492C01"/>
    <w:rsid w:val="004930D8"/>
    <w:rsid w:val="004933D8"/>
    <w:rsid w:val="004942BB"/>
    <w:rsid w:val="004943E7"/>
    <w:rsid w:val="00495954"/>
    <w:rsid w:val="00496575"/>
    <w:rsid w:val="004968C0"/>
    <w:rsid w:val="00496C1F"/>
    <w:rsid w:val="00496E45"/>
    <w:rsid w:val="00496E74"/>
    <w:rsid w:val="004A0AD3"/>
    <w:rsid w:val="004A2A36"/>
    <w:rsid w:val="004A3B77"/>
    <w:rsid w:val="004A47A3"/>
    <w:rsid w:val="004A4CD8"/>
    <w:rsid w:val="004A5FF9"/>
    <w:rsid w:val="004A6BAA"/>
    <w:rsid w:val="004A79A3"/>
    <w:rsid w:val="004B00A1"/>
    <w:rsid w:val="004B023B"/>
    <w:rsid w:val="004B0C7C"/>
    <w:rsid w:val="004B1499"/>
    <w:rsid w:val="004B175C"/>
    <w:rsid w:val="004B1863"/>
    <w:rsid w:val="004B1932"/>
    <w:rsid w:val="004B1AF8"/>
    <w:rsid w:val="004B2175"/>
    <w:rsid w:val="004B4338"/>
    <w:rsid w:val="004B4F31"/>
    <w:rsid w:val="004B52E5"/>
    <w:rsid w:val="004B5EAB"/>
    <w:rsid w:val="004B6D30"/>
    <w:rsid w:val="004B79F5"/>
    <w:rsid w:val="004B7BF0"/>
    <w:rsid w:val="004B7CBF"/>
    <w:rsid w:val="004C031E"/>
    <w:rsid w:val="004C0BAC"/>
    <w:rsid w:val="004C1A82"/>
    <w:rsid w:val="004C1BE2"/>
    <w:rsid w:val="004C1F50"/>
    <w:rsid w:val="004C1F8A"/>
    <w:rsid w:val="004C220B"/>
    <w:rsid w:val="004C2592"/>
    <w:rsid w:val="004C26E2"/>
    <w:rsid w:val="004C2866"/>
    <w:rsid w:val="004C29C2"/>
    <w:rsid w:val="004C3972"/>
    <w:rsid w:val="004C402D"/>
    <w:rsid w:val="004C443F"/>
    <w:rsid w:val="004C4AE8"/>
    <w:rsid w:val="004C542A"/>
    <w:rsid w:val="004C5B8B"/>
    <w:rsid w:val="004C5C7E"/>
    <w:rsid w:val="004C5F01"/>
    <w:rsid w:val="004C618C"/>
    <w:rsid w:val="004C61C1"/>
    <w:rsid w:val="004C6284"/>
    <w:rsid w:val="004C62A3"/>
    <w:rsid w:val="004D02F3"/>
    <w:rsid w:val="004D09E0"/>
    <w:rsid w:val="004D2895"/>
    <w:rsid w:val="004D28B2"/>
    <w:rsid w:val="004D28F2"/>
    <w:rsid w:val="004D299C"/>
    <w:rsid w:val="004D2FA9"/>
    <w:rsid w:val="004D3781"/>
    <w:rsid w:val="004D47B3"/>
    <w:rsid w:val="004D55B5"/>
    <w:rsid w:val="004D55CF"/>
    <w:rsid w:val="004D58FD"/>
    <w:rsid w:val="004D5E1F"/>
    <w:rsid w:val="004D659E"/>
    <w:rsid w:val="004D76D5"/>
    <w:rsid w:val="004E0A6D"/>
    <w:rsid w:val="004E0C90"/>
    <w:rsid w:val="004E0EA8"/>
    <w:rsid w:val="004E0F04"/>
    <w:rsid w:val="004E1418"/>
    <w:rsid w:val="004E238C"/>
    <w:rsid w:val="004E3764"/>
    <w:rsid w:val="004E391C"/>
    <w:rsid w:val="004E3AE6"/>
    <w:rsid w:val="004E44B6"/>
    <w:rsid w:val="004E496A"/>
    <w:rsid w:val="004E4AC5"/>
    <w:rsid w:val="004E4B0C"/>
    <w:rsid w:val="004E4B9A"/>
    <w:rsid w:val="004E57AC"/>
    <w:rsid w:val="004E5F8B"/>
    <w:rsid w:val="004E6495"/>
    <w:rsid w:val="004E651E"/>
    <w:rsid w:val="004E6FEE"/>
    <w:rsid w:val="004E76B5"/>
    <w:rsid w:val="004E7DB5"/>
    <w:rsid w:val="004F02A1"/>
    <w:rsid w:val="004F2E1F"/>
    <w:rsid w:val="004F35C4"/>
    <w:rsid w:val="004F3B85"/>
    <w:rsid w:val="004F3B9B"/>
    <w:rsid w:val="004F40BC"/>
    <w:rsid w:val="004F5FA0"/>
    <w:rsid w:val="004F5FEE"/>
    <w:rsid w:val="004F625F"/>
    <w:rsid w:val="004F62DD"/>
    <w:rsid w:val="004F6A86"/>
    <w:rsid w:val="004F6DA9"/>
    <w:rsid w:val="004F7849"/>
    <w:rsid w:val="00500799"/>
    <w:rsid w:val="00500E72"/>
    <w:rsid w:val="00500EAB"/>
    <w:rsid w:val="00501374"/>
    <w:rsid w:val="00501FC9"/>
    <w:rsid w:val="005036E4"/>
    <w:rsid w:val="00503C57"/>
    <w:rsid w:val="00504467"/>
    <w:rsid w:val="00504E43"/>
    <w:rsid w:val="00506263"/>
    <w:rsid w:val="005063DF"/>
    <w:rsid w:val="00506507"/>
    <w:rsid w:val="00506875"/>
    <w:rsid w:val="00507243"/>
    <w:rsid w:val="00507803"/>
    <w:rsid w:val="00507899"/>
    <w:rsid w:val="00507E3C"/>
    <w:rsid w:val="00510747"/>
    <w:rsid w:val="00510820"/>
    <w:rsid w:val="00511450"/>
    <w:rsid w:val="00511E99"/>
    <w:rsid w:val="0051271D"/>
    <w:rsid w:val="00512B5E"/>
    <w:rsid w:val="00512BA2"/>
    <w:rsid w:val="0051304F"/>
    <w:rsid w:val="0051352D"/>
    <w:rsid w:val="00513AE5"/>
    <w:rsid w:val="00513DBF"/>
    <w:rsid w:val="005140AE"/>
    <w:rsid w:val="00514FD8"/>
    <w:rsid w:val="00515F22"/>
    <w:rsid w:val="0051630D"/>
    <w:rsid w:val="00516BD2"/>
    <w:rsid w:val="00516D8F"/>
    <w:rsid w:val="00517114"/>
    <w:rsid w:val="0051757E"/>
    <w:rsid w:val="00517AD4"/>
    <w:rsid w:val="00517C30"/>
    <w:rsid w:val="005202D9"/>
    <w:rsid w:val="005204DA"/>
    <w:rsid w:val="0052085A"/>
    <w:rsid w:val="00521328"/>
    <w:rsid w:val="00521693"/>
    <w:rsid w:val="00521815"/>
    <w:rsid w:val="00521E3D"/>
    <w:rsid w:val="00521E7E"/>
    <w:rsid w:val="00522133"/>
    <w:rsid w:val="005222E3"/>
    <w:rsid w:val="005224A4"/>
    <w:rsid w:val="0052305B"/>
    <w:rsid w:val="005232BC"/>
    <w:rsid w:val="00523601"/>
    <w:rsid w:val="00523CD9"/>
    <w:rsid w:val="00523E08"/>
    <w:rsid w:val="00524505"/>
    <w:rsid w:val="00524CFF"/>
    <w:rsid w:val="005253B5"/>
    <w:rsid w:val="0052542B"/>
    <w:rsid w:val="0052642D"/>
    <w:rsid w:val="0052669A"/>
    <w:rsid w:val="00526C48"/>
    <w:rsid w:val="0052704F"/>
    <w:rsid w:val="00530220"/>
    <w:rsid w:val="00531264"/>
    <w:rsid w:val="00531794"/>
    <w:rsid w:val="005317BB"/>
    <w:rsid w:val="00531C05"/>
    <w:rsid w:val="00531E91"/>
    <w:rsid w:val="005322C4"/>
    <w:rsid w:val="00532D15"/>
    <w:rsid w:val="00532EFD"/>
    <w:rsid w:val="005330C6"/>
    <w:rsid w:val="005330D4"/>
    <w:rsid w:val="00533536"/>
    <w:rsid w:val="00533D0D"/>
    <w:rsid w:val="005358A4"/>
    <w:rsid w:val="0053758D"/>
    <w:rsid w:val="0053780E"/>
    <w:rsid w:val="005403E1"/>
    <w:rsid w:val="005403EB"/>
    <w:rsid w:val="0054092B"/>
    <w:rsid w:val="00541AD1"/>
    <w:rsid w:val="005426A7"/>
    <w:rsid w:val="00542B47"/>
    <w:rsid w:val="00542EAB"/>
    <w:rsid w:val="00543273"/>
    <w:rsid w:val="005434EC"/>
    <w:rsid w:val="005440B5"/>
    <w:rsid w:val="00544289"/>
    <w:rsid w:val="005448AA"/>
    <w:rsid w:val="005449D3"/>
    <w:rsid w:val="005458A9"/>
    <w:rsid w:val="00545A7D"/>
    <w:rsid w:val="00545C1F"/>
    <w:rsid w:val="005466BA"/>
    <w:rsid w:val="0054697D"/>
    <w:rsid w:val="005478B2"/>
    <w:rsid w:val="00547EF9"/>
    <w:rsid w:val="0055038C"/>
    <w:rsid w:val="0055046E"/>
    <w:rsid w:val="0055051E"/>
    <w:rsid w:val="00550782"/>
    <w:rsid w:val="005507CE"/>
    <w:rsid w:val="00550BAA"/>
    <w:rsid w:val="00551631"/>
    <w:rsid w:val="00551839"/>
    <w:rsid w:val="00551C52"/>
    <w:rsid w:val="0055244F"/>
    <w:rsid w:val="00552619"/>
    <w:rsid w:val="005529C2"/>
    <w:rsid w:val="00552C4E"/>
    <w:rsid w:val="00552D2A"/>
    <w:rsid w:val="00553E02"/>
    <w:rsid w:val="00554DA8"/>
    <w:rsid w:val="00555203"/>
    <w:rsid w:val="00555B95"/>
    <w:rsid w:val="00555DE4"/>
    <w:rsid w:val="00556650"/>
    <w:rsid w:val="005567CD"/>
    <w:rsid w:val="00557B9B"/>
    <w:rsid w:val="00557F70"/>
    <w:rsid w:val="005609E0"/>
    <w:rsid w:val="00560F29"/>
    <w:rsid w:val="0056199D"/>
    <w:rsid w:val="00561D09"/>
    <w:rsid w:val="00562B5B"/>
    <w:rsid w:val="0056381A"/>
    <w:rsid w:val="00563FF4"/>
    <w:rsid w:val="00565432"/>
    <w:rsid w:val="0056594E"/>
    <w:rsid w:val="00565F7A"/>
    <w:rsid w:val="00566BDD"/>
    <w:rsid w:val="0056710D"/>
    <w:rsid w:val="005703A8"/>
    <w:rsid w:val="0057045F"/>
    <w:rsid w:val="00570F35"/>
    <w:rsid w:val="00571325"/>
    <w:rsid w:val="00572C19"/>
    <w:rsid w:val="00572D40"/>
    <w:rsid w:val="00573727"/>
    <w:rsid w:val="005744E4"/>
    <w:rsid w:val="0057498F"/>
    <w:rsid w:val="00574E16"/>
    <w:rsid w:val="00575951"/>
    <w:rsid w:val="00575AB2"/>
    <w:rsid w:val="00575BFB"/>
    <w:rsid w:val="00575D23"/>
    <w:rsid w:val="00576098"/>
    <w:rsid w:val="00576174"/>
    <w:rsid w:val="00576181"/>
    <w:rsid w:val="005766A3"/>
    <w:rsid w:val="005771F9"/>
    <w:rsid w:val="00577671"/>
    <w:rsid w:val="00577D8C"/>
    <w:rsid w:val="00581DBA"/>
    <w:rsid w:val="00582797"/>
    <w:rsid w:val="00582F8C"/>
    <w:rsid w:val="0058361C"/>
    <w:rsid w:val="00583791"/>
    <w:rsid w:val="00583CFD"/>
    <w:rsid w:val="00583EB3"/>
    <w:rsid w:val="0058402C"/>
    <w:rsid w:val="00584B87"/>
    <w:rsid w:val="0058577E"/>
    <w:rsid w:val="0058617E"/>
    <w:rsid w:val="00586884"/>
    <w:rsid w:val="0058689E"/>
    <w:rsid w:val="005906FB"/>
    <w:rsid w:val="00590A80"/>
    <w:rsid w:val="00590F60"/>
    <w:rsid w:val="0059203D"/>
    <w:rsid w:val="005926F8"/>
    <w:rsid w:val="00592C03"/>
    <w:rsid w:val="00593056"/>
    <w:rsid w:val="005938C6"/>
    <w:rsid w:val="00593B5D"/>
    <w:rsid w:val="00593C59"/>
    <w:rsid w:val="00593F14"/>
    <w:rsid w:val="005940CF"/>
    <w:rsid w:val="005941CE"/>
    <w:rsid w:val="00594C88"/>
    <w:rsid w:val="0059572B"/>
    <w:rsid w:val="00595E4C"/>
    <w:rsid w:val="00596103"/>
    <w:rsid w:val="0059655C"/>
    <w:rsid w:val="00596CB3"/>
    <w:rsid w:val="00596D2C"/>
    <w:rsid w:val="00596FB0"/>
    <w:rsid w:val="00597646"/>
    <w:rsid w:val="0059788B"/>
    <w:rsid w:val="005A039D"/>
    <w:rsid w:val="005A0B7E"/>
    <w:rsid w:val="005A0CD5"/>
    <w:rsid w:val="005A0D25"/>
    <w:rsid w:val="005A1201"/>
    <w:rsid w:val="005A1938"/>
    <w:rsid w:val="005A2175"/>
    <w:rsid w:val="005A2176"/>
    <w:rsid w:val="005A2325"/>
    <w:rsid w:val="005A2564"/>
    <w:rsid w:val="005A2BF1"/>
    <w:rsid w:val="005A3242"/>
    <w:rsid w:val="005A4E61"/>
    <w:rsid w:val="005A4F0F"/>
    <w:rsid w:val="005A548C"/>
    <w:rsid w:val="005A57CE"/>
    <w:rsid w:val="005A5894"/>
    <w:rsid w:val="005A5C66"/>
    <w:rsid w:val="005A6A04"/>
    <w:rsid w:val="005A6CFD"/>
    <w:rsid w:val="005B0E32"/>
    <w:rsid w:val="005B1E90"/>
    <w:rsid w:val="005B2510"/>
    <w:rsid w:val="005B32A2"/>
    <w:rsid w:val="005B3D73"/>
    <w:rsid w:val="005B4721"/>
    <w:rsid w:val="005B48DB"/>
    <w:rsid w:val="005B4F68"/>
    <w:rsid w:val="005B5226"/>
    <w:rsid w:val="005B56ED"/>
    <w:rsid w:val="005B60CD"/>
    <w:rsid w:val="005B667A"/>
    <w:rsid w:val="005B66A8"/>
    <w:rsid w:val="005B7559"/>
    <w:rsid w:val="005B7F61"/>
    <w:rsid w:val="005C0027"/>
    <w:rsid w:val="005C0058"/>
    <w:rsid w:val="005C07CE"/>
    <w:rsid w:val="005C0ACB"/>
    <w:rsid w:val="005C0C0E"/>
    <w:rsid w:val="005C1755"/>
    <w:rsid w:val="005C1DF7"/>
    <w:rsid w:val="005C2110"/>
    <w:rsid w:val="005C250D"/>
    <w:rsid w:val="005C2CE9"/>
    <w:rsid w:val="005C2E80"/>
    <w:rsid w:val="005C3153"/>
    <w:rsid w:val="005C34C2"/>
    <w:rsid w:val="005C4336"/>
    <w:rsid w:val="005C4517"/>
    <w:rsid w:val="005C4B34"/>
    <w:rsid w:val="005C5296"/>
    <w:rsid w:val="005C6B7B"/>
    <w:rsid w:val="005C7A2F"/>
    <w:rsid w:val="005D052A"/>
    <w:rsid w:val="005D09D0"/>
    <w:rsid w:val="005D0B93"/>
    <w:rsid w:val="005D102D"/>
    <w:rsid w:val="005D1A86"/>
    <w:rsid w:val="005D1EC1"/>
    <w:rsid w:val="005D2408"/>
    <w:rsid w:val="005D3FEA"/>
    <w:rsid w:val="005D4C57"/>
    <w:rsid w:val="005D50CB"/>
    <w:rsid w:val="005D50FA"/>
    <w:rsid w:val="005D52F8"/>
    <w:rsid w:val="005D5687"/>
    <w:rsid w:val="005D6445"/>
    <w:rsid w:val="005D662A"/>
    <w:rsid w:val="005D6A08"/>
    <w:rsid w:val="005D70ED"/>
    <w:rsid w:val="005D71DF"/>
    <w:rsid w:val="005D77B5"/>
    <w:rsid w:val="005E0058"/>
    <w:rsid w:val="005E0FD0"/>
    <w:rsid w:val="005E1123"/>
    <w:rsid w:val="005E178F"/>
    <w:rsid w:val="005E2298"/>
    <w:rsid w:val="005E25D4"/>
    <w:rsid w:val="005E2D34"/>
    <w:rsid w:val="005E3551"/>
    <w:rsid w:val="005E3718"/>
    <w:rsid w:val="005E3BB9"/>
    <w:rsid w:val="005E4518"/>
    <w:rsid w:val="005E4842"/>
    <w:rsid w:val="005E4909"/>
    <w:rsid w:val="005E4996"/>
    <w:rsid w:val="005E4F8E"/>
    <w:rsid w:val="005E5FB4"/>
    <w:rsid w:val="005E663E"/>
    <w:rsid w:val="005E6CA6"/>
    <w:rsid w:val="005E78D5"/>
    <w:rsid w:val="005E7901"/>
    <w:rsid w:val="005F098B"/>
    <w:rsid w:val="005F18F2"/>
    <w:rsid w:val="005F243C"/>
    <w:rsid w:val="005F2C37"/>
    <w:rsid w:val="005F3A8B"/>
    <w:rsid w:val="005F3B91"/>
    <w:rsid w:val="005F4234"/>
    <w:rsid w:val="005F5157"/>
    <w:rsid w:val="005F5CD1"/>
    <w:rsid w:val="005F5E86"/>
    <w:rsid w:val="005F6156"/>
    <w:rsid w:val="005F62D5"/>
    <w:rsid w:val="005F6793"/>
    <w:rsid w:val="005F6F27"/>
    <w:rsid w:val="006004CE"/>
    <w:rsid w:val="006007BB"/>
    <w:rsid w:val="00600A70"/>
    <w:rsid w:val="0060154E"/>
    <w:rsid w:val="0060242A"/>
    <w:rsid w:val="006025B6"/>
    <w:rsid w:val="0060367B"/>
    <w:rsid w:val="0060396B"/>
    <w:rsid w:val="00603EA8"/>
    <w:rsid w:val="00604255"/>
    <w:rsid w:val="0060492B"/>
    <w:rsid w:val="00605520"/>
    <w:rsid w:val="00605FFF"/>
    <w:rsid w:val="0060605E"/>
    <w:rsid w:val="006060A4"/>
    <w:rsid w:val="00606214"/>
    <w:rsid w:val="006064E4"/>
    <w:rsid w:val="00607059"/>
    <w:rsid w:val="006078F1"/>
    <w:rsid w:val="00607DA4"/>
    <w:rsid w:val="00607E50"/>
    <w:rsid w:val="00610162"/>
    <w:rsid w:val="00610306"/>
    <w:rsid w:val="00610AC3"/>
    <w:rsid w:val="0061126F"/>
    <w:rsid w:val="006116F9"/>
    <w:rsid w:val="00611825"/>
    <w:rsid w:val="00611E03"/>
    <w:rsid w:val="00611FDE"/>
    <w:rsid w:val="00612030"/>
    <w:rsid w:val="00612090"/>
    <w:rsid w:val="00612E00"/>
    <w:rsid w:val="006138CC"/>
    <w:rsid w:val="00613ECD"/>
    <w:rsid w:val="00613EFE"/>
    <w:rsid w:val="006146E4"/>
    <w:rsid w:val="0061515C"/>
    <w:rsid w:val="00615640"/>
    <w:rsid w:val="006156B2"/>
    <w:rsid w:val="00616546"/>
    <w:rsid w:val="00617403"/>
    <w:rsid w:val="00617ED0"/>
    <w:rsid w:val="00620EB1"/>
    <w:rsid w:val="00620EFA"/>
    <w:rsid w:val="00622E73"/>
    <w:rsid w:val="00623391"/>
    <w:rsid w:val="006236DC"/>
    <w:rsid w:val="00624F74"/>
    <w:rsid w:val="006252B2"/>
    <w:rsid w:val="006255CE"/>
    <w:rsid w:val="006269B6"/>
    <w:rsid w:val="006300B2"/>
    <w:rsid w:val="00630249"/>
    <w:rsid w:val="00630F09"/>
    <w:rsid w:val="006315AB"/>
    <w:rsid w:val="00632D70"/>
    <w:rsid w:val="00632DEC"/>
    <w:rsid w:val="006334DA"/>
    <w:rsid w:val="00634860"/>
    <w:rsid w:val="0063523B"/>
    <w:rsid w:val="0063530D"/>
    <w:rsid w:val="0063578D"/>
    <w:rsid w:val="00635FF9"/>
    <w:rsid w:val="00636771"/>
    <w:rsid w:val="00636897"/>
    <w:rsid w:val="006371B5"/>
    <w:rsid w:val="00637581"/>
    <w:rsid w:val="006377D6"/>
    <w:rsid w:val="00637CCD"/>
    <w:rsid w:val="00640787"/>
    <w:rsid w:val="00640BA7"/>
    <w:rsid w:val="00641C53"/>
    <w:rsid w:val="00642089"/>
    <w:rsid w:val="006426BD"/>
    <w:rsid w:val="00642A9E"/>
    <w:rsid w:val="00643142"/>
    <w:rsid w:val="00643194"/>
    <w:rsid w:val="00643878"/>
    <w:rsid w:val="00643CCD"/>
    <w:rsid w:val="00644611"/>
    <w:rsid w:val="00644D53"/>
    <w:rsid w:val="00645436"/>
    <w:rsid w:val="00645818"/>
    <w:rsid w:val="00645E16"/>
    <w:rsid w:val="00646417"/>
    <w:rsid w:val="006466BF"/>
    <w:rsid w:val="0064756B"/>
    <w:rsid w:val="00647ED5"/>
    <w:rsid w:val="0065084D"/>
    <w:rsid w:val="00650850"/>
    <w:rsid w:val="00651537"/>
    <w:rsid w:val="006527CD"/>
    <w:rsid w:val="00654C64"/>
    <w:rsid w:val="006551CF"/>
    <w:rsid w:val="00655346"/>
    <w:rsid w:val="0065551C"/>
    <w:rsid w:val="006565F4"/>
    <w:rsid w:val="0065730F"/>
    <w:rsid w:val="006574B2"/>
    <w:rsid w:val="006601B0"/>
    <w:rsid w:val="0066053D"/>
    <w:rsid w:val="00660D21"/>
    <w:rsid w:val="00661572"/>
    <w:rsid w:val="006615D8"/>
    <w:rsid w:val="0066184E"/>
    <w:rsid w:val="00662950"/>
    <w:rsid w:val="00662EBC"/>
    <w:rsid w:val="00664068"/>
    <w:rsid w:val="00664132"/>
    <w:rsid w:val="00664CF8"/>
    <w:rsid w:val="00665718"/>
    <w:rsid w:val="00665ECB"/>
    <w:rsid w:val="006662DB"/>
    <w:rsid w:val="00666397"/>
    <w:rsid w:val="00666ACF"/>
    <w:rsid w:val="00667448"/>
    <w:rsid w:val="00667735"/>
    <w:rsid w:val="00670ED0"/>
    <w:rsid w:val="0067131B"/>
    <w:rsid w:val="006713A3"/>
    <w:rsid w:val="00673861"/>
    <w:rsid w:val="00673878"/>
    <w:rsid w:val="00673CFE"/>
    <w:rsid w:val="00673DC5"/>
    <w:rsid w:val="0067408B"/>
    <w:rsid w:val="006740CD"/>
    <w:rsid w:val="006740DB"/>
    <w:rsid w:val="006743ED"/>
    <w:rsid w:val="0067446A"/>
    <w:rsid w:val="00674632"/>
    <w:rsid w:val="00674B0B"/>
    <w:rsid w:val="00674BB8"/>
    <w:rsid w:val="00674BCE"/>
    <w:rsid w:val="00675B07"/>
    <w:rsid w:val="00675BF7"/>
    <w:rsid w:val="006761BC"/>
    <w:rsid w:val="006764EF"/>
    <w:rsid w:val="006770A3"/>
    <w:rsid w:val="00677795"/>
    <w:rsid w:val="0068168F"/>
    <w:rsid w:val="00681922"/>
    <w:rsid w:val="00681986"/>
    <w:rsid w:val="0068234D"/>
    <w:rsid w:val="00683021"/>
    <w:rsid w:val="00683697"/>
    <w:rsid w:val="00683819"/>
    <w:rsid w:val="00683A0E"/>
    <w:rsid w:val="00683AAF"/>
    <w:rsid w:val="0068443B"/>
    <w:rsid w:val="00684AF7"/>
    <w:rsid w:val="006858AA"/>
    <w:rsid w:val="00685B72"/>
    <w:rsid w:val="00687356"/>
    <w:rsid w:val="0069161E"/>
    <w:rsid w:val="00691884"/>
    <w:rsid w:val="00691F0A"/>
    <w:rsid w:val="00692916"/>
    <w:rsid w:val="00693871"/>
    <w:rsid w:val="006938C2"/>
    <w:rsid w:val="00693AEF"/>
    <w:rsid w:val="00693D6D"/>
    <w:rsid w:val="00694078"/>
    <w:rsid w:val="00694271"/>
    <w:rsid w:val="00694700"/>
    <w:rsid w:val="00694B6D"/>
    <w:rsid w:val="00694C67"/>
    <w:rsid w:val="00694F17"/>
    <w:rsid w:val="00695887"/>
    <w:rsid w:val="0069610E"/>
    <w:rsid w:val="0069644F"/>
    <w:rsid w:val="006964CE"/>
    <w:rsid w:val="00696646"/>
    <w:rsid w:val="00696B02"/>
    <w:rsid w:val="00696B2F"/>
    <w:rsid w:val="006A0024"/>
    <w:rsid w:val="006A1857"/>
    <w:rsid w:val="006A1CDD"/>
    <w:rsid w:val="006A2277"/>
    <w:rsid w:val="006A2543"/>
    <w:rsid w:val="006A2885"/>
    <w:rsid w:val="006A37CB"/>
    <w:rsid w:val="006A3F5E"/>
    <w:rsid w:val="006A4381"/>
    <w:rsid w:val="006A4F97"/>
    <w:rsid w:val="006A533E"/>
    <w:rsid w:val="006A5512"/>
    <w:rsid w:val="006A5567"/>
    <w:rsid w:val="006A5691"/>
    <w:rsid w:val="006A59E9"/>
    <w:rsid w:val="006A5B02"/>
    <w:rsid w:val="006A5BD9"/>
    <w:rsid w:val="006A5C24"/>
    <w:rsid w:val="006A717C"/>
    <w:rsid w:val="006A740A"/>
    <w:rsid w:val="006B04E8"/>
    <w:rsid w:val="006B0C02"/>
    <w:rsid w:val="006B15BE"/>
    <w:rsid w:val="006B164B"/>
    <w:rsid w:val="006B18D6"/>
    <w:rsid w:val="006B18F6"/>
    <w:rsid w:val="006B1E7F"/>
    <w:rsid w:val="006B1FA8"/>
    <w:rsid w:val="006B1FAE"/>
    <w:rsid w:val="006B2ACD"/>
    <w:rsid w:val="006B2F6C"/>
    <w:rsid w:val="006B34B6"/>
    <w:rsid w:val="006B3784"/>
    <w:rsid w:val="006B37CC"/>
    <w:rsid w:val="006B519D"/>
    <w:rsid w:val="006B5936"/>
    <w:rsid w:val="006B59B3"/>
    <w:rsid w:val="006B59E4"/>
    <w:rsid w:val="006B6C6C"/>
    <w:rsid w:val="006C01D1"/>
    <w:rsid w:val="006C0771"/>
    <w:rsid w:val="006C0B25"/>
    <w:rsid w:val="006C0CD6"/>
    <w:rsid w:val="006C206A"/>
    <w:rsid w:val="006C20C3"/>
    <w:rsid w:val="006C2377"/>
    <w:rsid w:val="006C3681"/>
    <w:rsid w:val="006C3C16"/>
    <w:rsid w:val="006C3ECC"/>
    <w:rsid w:val="006C402A"/>
    <w:rsid w:val="006C4371"/>
    <w:rsid w:val="006C43AF"/>
    <w:rsid w:val="006C513B"/>
    <w:rsid w:val="006C5BBB"/>
    <w:rsid w:val="006C6B81"/>
    <w:rsid w:val="006C733F"/>
    <w:rsid w:val="006C7A08"/>
    <w:rsid w:val="006C7E59"/>
    <w:rsid w:val="006C7EBD"/>
    <w:rsid w:val="006D009E"/>
    <w:rsid w:val="006D0772"/>
    <w:rsid w:val="006D07F0"/>
    <w:rsid w:val="006D0F01"/>
    <w:rsid w:val="006D13CE"/>
    <w:rsid w:val="006D1450"/>
    <w:rsid w:val="006D152D"/>
    <w:rsid w:val="006D243E"/>
    <w:rsid w:val="006D2837"/>
    <w:rsid w:val="006D2E0E"/>
    <w:rsid w:val="006D3EBD"/>
    <w:rsid w:val="006D499F"/>
    <w:rsid w:val="006D4E79"/>
    <w:rsid w:val="006D53E4"/>
    <w:rsid w:val="006D5CA5"/>
    <w:rsid w:val="006D61BC"/>
    <w:rsid w:val="006E0405"/>
    <w:rsid w:val="006E0DE9"/>
    <w:rsid w:val="006E2DFE"/>
    <w:rsid w:val="006E3A61"/>
    <w:rsid w:val="006E3AD4"/>
    <w:rsid w:val="006E3CAF"/>
    <w:rsid w:val="006E4633"/>
    <w:rsid w:val="006E4F91"/>
    <w:rsid w:val="006E5459"/>
    <w:rsid w:val="006E59E8"/>
    <w:rsid w:val="006E5C7B"/>
    <w:rsid w:val="006E696E"/>
    <w:rsid w:val="006E7205"/>
    <w:rsid w:val="006E7A62"/>
    <w:rsid w:val="006F0776"/>
    <w:rsid w:val="006F0EAA"/>
    <w:rsid w:val="006F170E"/>
    <w:rsid w:val="006F2470"/>
    <w:rsid w:val="006F2857"/>
    <w:rsid w:val="006F42BC"/>
    <w:rsid w:val="006F4945"/>
    <w:rsid w:val="006F4EBC"/>
    <w:rsid w:val="006F5751"/>
    <w:rsid w:val="006F6513"/>
    <w:rsid w:val="006F723E"/>
    <w:rsid w:val="006F7962"/>
    <w:rsid w:val="006F7D43"/>
    <w:rsid w:val="0070014D"/>
    <w:rsid w:val="0070064C"/>
    <w:rsid w:val="007017FA"/>
    <w:rsid w:val="00701AE6"/>
    <w:rsid w:val="007020FC"/>
    <w:rsid w:val="007026CC"/>
    <w:rsid w:val="007034E2"/>
    <w:rsid w:val="0070418E"/>
    <w:rsid w:val="0070447C"/>
    <w:rsid w:val="00704AA5"/>
    <w:rsid w:val="00704B00"/>
    <w:rsid w:val="007054B3"/>
    <w:rsid w:val="00705882"/>
    <w:rsid w:val="00706389"/>
    <w:rsid w:val="00707666"/>
    <w:rsid w:val="00711150"/>
    <w:rsid w:val="00711505"/>
    <w:rsid w:val="00711AAC"/>
    <w:rsid w:val="00711B11"/>
    <w:rsid w:val="00711DCF"/>
    <w:rsid w:val="0071222E"/>
    <w:rsid w:val="00712787"/>
    <w:rsid w:val="00712B08"/>
    <w:rsid w:val="00712B77"/>
    <w:rsid w:val="00712BDF"/>
    <w:rsid w:val="00713970"/>
    <w:rsid w:val="00714CC8"/>
    <w:rsid w:val="00715608"/>
    <w:rsid w:val="0071580C"/>
    <w:rsid w:val="00715B8A"/>
    <w:rsid w:val="00715BE1"/>
    <w:rsid w:val="00715C8D"/>
    <w:rsid w:val="007166BE"/>
    <w:rsid w:val="00716866"/>
    <w:rsid w:val="00716F2F"/>
    <w:rsid w:val="00717512"/>
    <w:rsid w:val="007201C1"/>
    <w:rsid w:val="0072041F"/>
    <w:rsid w:val="00720950"/>
    <w:rsid w:val="00720AC9"/>
    <w:rsid w:val="00720BA0"/>
    <w:rsid w:val="0072123A"/>
    <w:rsid w:val="007217CB"/>
    <w:rsid w:val="00721814"/>
    <w:rsid w:val="00721B17"/>
    <w:rsid w:val="00721D63"/>
    <w:rsid w:val="0072206B"/>
    <w:rsid w:val="0072222E"/>
    <w:rsid w:val="00722325"/>
    <w:rsid w:val="00722F2E"/>
    <w:rsid w:val="007236B5"/>
    <w:rsid w:val="00723C48"/>
    <w:rsid w:val="00723DC5"/>
    <w:rsid w:val="00724A32"/>
    <w:rsid w:val="007250A5"/>
    <w:rsid w:val="00725475"/>
    <w:rsid w:val="00726382"/>
    <w:rsid w:val="007270B4"/>
    <w:rsid w:val="00727A2F"/>
    <w:rsid w:val="00727A36"/>
    <w:rsid w:val="0073178F"/>
    <w:rsid w:val="00731A2B"/>
    <w:rsid w:val="00731C1D"/>
    <w:rsid w:val="007331DF"/>
    <w:rsid w:val="007336E9"/>
    <w:rsid w:val="00733A2C"/>
    <w:rsid w:val="00733B3E"/>
    <w:rsid w:val="00734A23"/>
    <w:rsid w:val="0073635F"/>
    <w:rsid w:val="00736F79"/>
    <w:rsid w:val="00737B4B"/>
    <w:rsid w:val="00737DC0"/>
    <w:rsid w:val="007405EE"/>
    <w:rsid w:val="00740673"/>
    <w:rsid w:val="00740874"/>
    <w:rsid w:val="00741291"/>
    <w:rsid w:val="0074129C"/>
    <w:rsid w:val="00741AA2"/>
    <w:rsid w:val="00741B8C"/>
    <w:rsid w:val="00741BE4"/>
    <w:rsid w:val="007433BD"/>
    <w:rsid w:val="00743687"/>
    <w:rsid w:val="007438D3"/>
    <w:rsid w:val="00743CC3"/>
    <w:rsid w:val="0074487F"/>
    <w:rsid w:val="00744D3A"/>
    <w:rsid w:val="007454D6"/>
    <w:rsid w:val="00745ACC"/>
    <w:rsid w:val="00746953"/>
    <w:rsid w:val="00746F48"/>
    <w:rsid w:val="00747A39"/>
    <w:rsid w:val="007516F7"/>
    <w:rsid w:val="00751CF7"/>
    <w:rsid w:val="00752A66"/>
    <w:rsid w:val="00753DC6"/>
    <w:rsid w:val="00753F4E"/>
    <w:rsid w:val="0075425D"/>
    <w:rsid w:val="00754B63"/>
    <w:rsid w:val="0075508C"/>
    <w:rsid w:val="007552EA"/>
    <w:rsid w:val="00755528"/>
    <w:rsid w:val="00755CA5"/>
    <w:rsid w:val="00756AAA"/>
    <w:rsid w:val="00756DBF"/>
    <w:rsid w:val="00756FCF"/>
    <w:rsid w:val="00757179"/>
    <w:rsid w:val="007608F1"/>
    <w:rsid w:val="00761206"/>
    <w:rsid w:val="00761969"/>
    <w:rsid w:val="0076213A"/>
    <w:rsid w:val="00762F5D"/>
    <w:rsid w:val="007631E7"/>
    <w:rsid w:val="00763347"/>
    <w:rsid w:val="00763C96"/>
    <w:rsid w:val="00764074"/>
    <w:rsid w:val="00764D52"/>
    <w:rsid w:val="007651A7"/>
    <w:rsid w:val="00765400"/>
    <w:rsid w:val="007655A0"/>
    <w:rsid w:val="00765A37"/>
    <w:rsid w:val="00766861"/>
    <w:rsid w:val="007668A9"/>
    <w:rsid w:val="00766C45"/>
    <w:rsid w:val="00766CB1"/>
    <w:rsid w:val="00766EE5"/>
    <w:rsid w:val="007674A5"/>
    <w:rsid w:val="0076799E"/>
    <w:rsid w:val="0077028D"/>
    <w:rsid w:val="00770A9D"/>
    <w:rsid w:val="00770BFB"/>
    <w:rsid w:val="00771D6B"/>
    <w:rsid w:val="00771D74"/>
    <w:rsid w:val="00771E1E"/>
    <w:rsid w:val="007732B9"/>
    <w:rsid w:val="007738F3"/>
    <w:rsid w:val="00773F8E"/>
    <w:rsid w:val="007752C9"/>
    <w:rsid w:val="007752E3"/>
    <w:rsid w:val="007763B7"/>
    <w:rsid w:val="00776F53"/>
    <w:rsid w:val="007777C7"/>
    <w:rsid w:val="00777EA6"/>
    <w:rsid w:val="0078091B"/>
    <w:rsid w:val="00781EB1"/>
    <w:rsid w:val="0078418E"/>
    <w:rsid w:val="00784D4D"/>
    <w:rsid w:val="007866F4"/>
    <w:rsid w:val="00787265"/>
    <w:rsid w:val="00787DD7"/>
    <w:rsid w:val="00790308"/>
    <w:rsid w:val="007913CE"/>
    <w:rsid w:val="007919DE"/>
    <w:rsid w:val="00791A1A"/>
    <w:rsid w:val="007925FF"/>
    <w:rsid w:val="00793463"/>
    <w:rsid w:val="00793491"/>
    <w:rsid w:val="00793573"/>
    <w:rsid w:val="0079368D"/>
    <w:rsid w:val="00793B3C"/>
    <w:rsid w:val="00794616"/>
    <w:rsid w:val="0079523F"/>
    <w:rsid w:val="0079553D"/>
    <w:rsid w:val="007961DF"/>
    <w:rsid w:val="00796B1F"/>
    <w:rsid w:val="00796BDA"/>
    <w:rsid w:val="00796E3E"/>
    <w:rsid w:val="0079749E"/>
    <w:rsid w:val="007979D2"/>
    <w:rsid w:val="007A01EC"/>
    <w:rsid w:val="007A03B4"/>
    <w:rsid w:val="007A088D"/>
    <w:rsid w:val="007A0A07"/>
    <w:rsid w:val="007A0ABB"/>
    <w:rsid w:val="007A0F35"/>
    <w:rsid w:val="007A1A0A"/>
    <w:rsid w:val="007A224C"/>
    <w:rsid w:val="007A22F9"/>
    <w:rsid w:val="007A25C3"/>
    <w:rsid w:val="007A3666"/>
    <w:rsid w:val="007A38D9"/>
    <w:rsid w:val="007A3CC5"/>
    <w:rsid w:val="007A3EFE"/>
    <w:rsid w:val="007A43F7"/>
    <w:rsid w:val="007A4A95"/>
    <w:rsid w:val="007A4CC4"/>
    <w:rsid w:val="007A59D8"/>
    <w:rsid w:val="007A64A1"/>
    <w:rsid w:val="007A76BA"/>
    <w:rsid w:val="007B00EF"/>
    <w:rsid w:val="007B0668"/>
    <w:rsid w:val="007B079E"/>
    <w:rsid w:val="007B0F97"/>
    <w:rsid w:val="007B1A93"/>
    <w:rsid w:val="007B2078"/>
    <w:rsid w:val="007B24D8"/>
    <w:rsid w:val="007B2731"/>
    <w:rsid w:val="007B28A3"/>
    <w:rsid w:val="007B2C0B"/>
    <w:rsid w:val="007B2C90"/>
    <w:rsid w:val="007B3775"/>
    <w:rsid w:val="007B5F2F"/>
    <w:rsid w:val="007B6724"/>
    <w:rsid w:val="007B68AB"/>
    <w:rsid w:val="007B6FE3"/>
    <w:rsid w:val="007B74F4"/>
    <w:rsid w:val="007C13F7"/>
    <w:rsid w:val="007C19A3"/>
    <w:rsid w:val="007C1C95"/>
    <w:rsid w:val="007C2273"/>
    <w:rsid w:val="007C2D65"/>
    <w:rsid w:val="007C3345"/>
    <w:rsid w:val="007C4000"/>
    <w:rsid w:val="007C4B6E"/>
    <w:rsid w:val="007C5689"/>
    <w:rsid w:val="007C59E5"/>
    <w:rsid w:val="007C6832"/>
    <w:rsid w:val="007C7234"/>
    <w:rsid w:val="007C74F0"/>
    <w:rsid w:val="007D0086"/>
    <w:rsid w:val="007D01F4"/>
    <w:rsid w:val="007D13AE"/>
    <w:rsid w:val="007D153B"/>
    <w:rsid w:val="007D239D"/>
    <w:rsid w:val="007D247D"/>
    <w:rsid w:val="007D2E2D"/>
    <w:rsid w:val="007D2F17"/>
    <w:rsid w:val="007D312E"/>
    <w:rsid w:val="007D3AB5"/>
    <w:rsid w:val="007D56E2"/>
    <w:rsid w:val="007D5AD6"/>
    <w:rsid w:val="007D60E8"/>
    <w:rsid w:val="007D75C8"/>
    <w:rsid w:val="007D7955"/>
    <w:rsid w:val="007D7CE3"/>
    <w:rsid w:val="007D7E85"/>
    <w:rsid w:val="007D7F04"/>
    <w:rsid w:val="007E0118"/>
    <w:rsid w:val="007E1235"/>
    <w:rsid w:val="007E2384"/>
    <w:rsid w:val="007E24C0"/>
    <w:rsid w:val="007E28FA"/>
    <w:rsid w:val="007E3AA1"/>
    <w:rsid w:val="007E3B22"/>
    <w:rsid w:val="007E40FF"/>
    <w:rsid w:val="007E4799"/>
    <w:rsid w:val="007E4C25"/>
    <w:rsid w:val="007E5373"/>
    <w:rsid w:val="007E5401"/>
    <w:rsid w:val="007E69BE"/>
    <w:rsid w:val="007E6B65"/>
    <w:rsid w:val="007E6B93"/>
    <w:rsid w:val="007E6C28"/>
    <w:rsid w:val="007E6EF0"/>
    <w:rsid w:val="007E718F"/>
    <w:rsid w:val="007F0473"/>
    <w:rsid w:val="007F09B0"/>
    <w:rsid w:val="007F0EBC"/>
    <w:rsid w:val="007F2703"/>
    <w:rsid w:val="007F3178"/>
    <w:rsid w:val="007F31FF"/>
    <w:rsid w:val="007F3E48"/>
    <w:rsid w:val="007F48FB"/>
    <w:rsid w:val="007F4EBA"/>
    <w:rsid w:val="007F53DC"/>
    <w:rsid w:val="007F5A1D"/>
    <w:rsid w:val="007F5B5B"/>
    <w:rsid w:val="007F6CA8"/>
    <w:rsid w:val="007F6EA7"/>
    <w:rsid w:val="007F70C3"/>
    <w:rsid w:val="008000E2"/>
    <w:rsid w:val="008008D7"/>
    <w:rsid w:val="00800951"/>
    <w:rsid w:val="008022FB"/>
    <w:rsid w:val="008025A8"/>
    <w:rsid w:val="008025C4"/>
    <w:rsid w:val="0080298B"/>
    <w:rsid w:val="00803928"/>
    <w:rsid w:val="00803D44"/>
    <w:rsid w:val="0080481A"/>
    <w:rsid w:val="00804E7E"/>
    <w:rsid w:val="0080530D"/>
    <w:rsid w:val="0080572C"/>
    <w:rsid w:val="00805DE0"/>
    <w:rsid w:val="008069B3"/>
    <w:rsid w:val="00806E48"/>
    <w:rsid w:val="00806E8A"/>
    <w:rsid w:val="00810383"/>
    <w:rsid w:val="00810547"/>
    <w:rsid w:val="00810AED"/>
    <w:rsid w:val="0081103C"/>
    <w:rsid w:val="008114F6"/>
    <w:rsid w:val="008115F8"/>
    <w:rsid w:val="008117AB"/>
    <w:rsid w:val="00811E48"/>
    <w:rsid w:val="008122DD"/>
    <w:rsid w:val="00812A63"/>
    <w:rsid w:val="00812DD1"/>
    <w:rsid w:val="00813FC2"/>
    <w:rsid w:val="0081419C"/>
    <w:rsid w:val="00814665"/>
    <w:rsid w:val="0081476E"/>
    <w:rsid w:val="00814AFD"/>
    <w:rsid w:val="00815285"/>
    <w:rsid w:val="00815C9D"/>
    <w:rsid w:val="0081611B"/>
    <w:rsid w:val="0081636F"/>
    <w:rsid w:val="0081656D"/>
    <w:rsid w:val="00820419"/>
    <w:rsid w:val="00820A01"/>
    <w:rsid w:val="00820E66"/>
    <w:rsid w:val="00820F36"/>
    <w:rsid w:val="00821167"/>
    <w:rsid w:val="0082130C"/>
    <w:rsid w:val="0082158C"/>
    <w:rsid w:val="00821C1C"/>
    <w:rsid w:val="00821E90"/>
    <w:rsid w:val="00822046"/>
    <w:rsid w:val="0082265A"/>
    <w:rsid w:val="00822899"/>
    <w:rsid w:val="00822B94"/>
    <w:rsid w:val="008230D8"/>
    <w:rsid w:val="00823203"/>
    <w:rsid w:val="008232D4"/>
    <w:rsid w:val="008239BB"/>
    <w:rsid w:val="00824DBB"/>
    <w:rsid w:val="00825739"/>
    <w:rsid w:val="00825B14"/>
    <w:rsid w:val="00825D96"/>
    <w:rsid w:val="00825E5A"/>
    <w:rsid w:val="00825E76"/>
    <w:rsid w:val="00825F7D"/>
    <w:rsid w:val="008265A8"/>
    <w:rsid w:val="00826808"/>
    <w:rsid w:val="0082684D"/>
    <w:rsid w:val="00826EF7"/>
    <w:rsid w:val="008271FD"/>
    <w:rsid w:val="00827F74"/>
    <w:rsid w:val="0083189A"/>
    <w:rsid w:val="00831DAC"/>
    <w:rsid w:val="00831E57"/>
    <w:rsid w:val="00833791"/>
    <w:rsid w:val="00833E52"/>
    <w:rsid w:val="0083421B"/>
    <w:rsid w:val="008342E1"/>
    <w:rsid w:val="0083455C"/>
    <w:rsid w:val="00834564"/>
    <w:rsid w:val="0083461F"/>
    <w:rsid w:val="0083556A"/>
    <w:rsid w:val="00836E2E"/>
    <w:rsid w:val="00836E61"/>
    <w:rsid w:val="00837444"/>
    <w:rsid w:val="008401CF"/>
    <w:rsid w:val="0084023E"/>
    <w:rsid w:val="008408B2"/>
    <w:rsid w:val="008416BD"/>
    <w:rsid w:val="00841ADB"/>
    <w:rsid w:val="00842A9A"/>
    <w:rsid w:val="00843331"/>
    <w:rsid w:val="00843730"/>
    <w:rsid w:val="00843A43"/>
    <w:rsid w:val="00843BFB"/>
    <w:rsid w:val="0084482B"/>
    <w:rsid w:val="00844A6A"/>
    <w:rsid w:val="00844F64"/>
    <w:rsid w:val="008452D3"/>
    <w:rsid w:val="008456F5"/>
    <w:rsid w:val="00845911"/>
    <w:rsid w:val="00846420"/>
    <w:rsid w:val="008468A3"/>
    <w:rsid w:val="00846D58"/>
    <w:rsid w:val="00846FB0"/>
    <w:rsid w:val="00847372"/>
    <w:rsid w:val="00847486"/>
    <w:rsid w:val="008478ED"/>
    <w:rsid w:val="00847FD0"/>
    <w:rsid w:val="008503ED"/>
    <w:rsid w:val="00851317"/>
    <w:rsid w:val="00851BA5"/>
    <w:rsid w:val="00851D80"/>
    <w:rsid w:val="00851F96"/>
    <w:rsid w:val="0085295B"/>
    <w:rsid w:val="008531CB"/>
    <w:rsid w:val="008534EA"/>
    <w:rsid w:val="008535E4"/>
    <w:rsid w:val="00853840"/>
    <w:rsid w:val="00853FB2"/>
    <w:rsid w:val="008542A2"/>
    <w:rsid w:val="00854A3C"/>
    <w:rsid w:val="00854A49"/>
    <w:rsid w:val="00855C7C"/>
    <w:rsid w:val="008565C4"/>
    <w:rsid w:val="00856BB2"/>
    <w:rsid w:val="00856F2C"/>
    <w:rsid w:val="00857110"/>
    <w:rsid w:val="00857371"/>
    <w:rsid w:val="008575E5"/>
    <w:rsid w:val="00860627"/>
    <w:rsid w:val="00860CFC"/>
    <w:rsid w:val="00860D86"/>
    <w:rsid w:val="00860EE9"/>
    <w:rsid w:val="00861384"/>
    <w:rsid w:val="008618F0"/>
    <w:rsid w:val="00861DEC"/>
    <w:rsid w:val="008623FB"/>
    <w:rsid w:val="00863124"/>
    <w:rsid w:val="00865140"/>
    <w:rsid w:val="0086570A"/>
    <w:rsid w:val="008659F5"/>
    <w:rsid w:val="008663A7"/>
    <w:rsid w:val="0086701D"/>
    <w:rsid w:val="008671E3"/>
    <w:rsid w:val="0086770A"/>
    <w:rsid w:val="008677FA"/>
    <w:rsid w:val="00867E05"/>
    <w:rsid w:val="00867E22"/>
    <w:rsid w:val="00871C2C"/>
    <w:rsid w:val="00871D70"/>
    <w:rsid w:val="00871F4F"/>
    <w:rsid w:val="00872050"/>
    <w:rsid w:val="008729C2"/>
    <w:rsid w:val="008735E5"/>
    <w:rsid w:val="008756AE"/>
    <w:rsid w:val="008756FD"/>
    <w:rsid w:val="00877204"/>
    <w:rsid w:val="0088144A"/>
    <w:rsid w:val="00881839"/>
    <w:rsid w:val="00881FAB"/>
    <w:rsid w:val="00882003"/>
    <w:rsid w:val="00883468"/>
    <w:rsid w:val="00883592"/>
    <w:rsid w:val="00883C7B"/>
    <w:rsid w:val="0088418E"/>
    <w:rsid w:val="008848C4"/>
    <w:rsid w:val="008851B6"/>
    <w:rsid w:val="0088544F"/>
    <w:rsid w:val="00886499"/>
    <w:rsid w:val="0088765C"/>
    <w:rsid w:val="00890BA9"/>
    <w:rsid w:val="00890E81"/>
    <w:rsid w:val="008911AD"/>
    <w:rsid w:val="00891F0F"/>
    <w:rsid w:val="00891FEE"/>
    <w:rsid w:val="00892B1C"/>
    <w:rsid w:val="008930DB"/>
    <w:rsid w:val="0089360A"/>
    <w:rsid w:val="00893791"/>
    <w:rsid w:val="008939DC"/>
    <w:rsid w:val="00893A50"/>
    <w:rsid w:val="00893F90"/>
    <w:rsid w:val="00894107"/>
    <w:rsid w:val="00894985"/>
    <w:rsid w:val="00895031"/>
    <w:rsid w:val="00896661"/>
    <w:rsid w:val="0089682A"/>
    <w:rsid w:val="008969F9"/>
    <w:rsid w:val="00897614"/>
    <w:rsid w:val="00897E1D"/>
    <w:rsid w:val="008A02FE"/>
    <w:rsid w:val="008A043D"/>
    <w:rsid w:val="008A152E"/>
    <w:rsid w:val="008A17B4"/>
    <w:rsid w:val="008A18EF"/>
    <w:rsid w:val="008A1DCD"/>
    <w:rsid w:val="008A266D"/>
    <w:rsid w:val="008A2717"/>
    <w:rsid w:val="008A4195"/>
    <w:rsid w:val="008A4453"/>
    <w:rsid w:val="008A4C9D"/>
    <w:rsid w:val="008A552F"/>
    <w:rsid w:val="008A5F36"/>
    <w:rsid w:val="008A69D0"/>
    <w:rsid w:val="008A6BD3"/>
    <w:rsid w:val="008A7AD7"/>
    <w:rsid w:val="008A7B87"/>
    <w:rsid w:val="008A7F73"/>
    <w:rsid w:val="008B0240"/>
    <w:rsid w:val="008B0699"/>
    <w:rsid w:val="008B1C27"/>
    <w:rsid w:val="008B1CD4"/>
    <w:rsid w:val="008B1DC0"/>
    <w:rsid w:val="008B4875"/>
    <w:rsid w:val="008B4DC7"/>
    <w:rsid w:val="008B5358"/>
    <w:rsid w:val="008B560B"/>
    <w:rsid w:val="008B568C"/>
    <w:rsid w:val="008B5FD3"/>
    <w:rsid w:val="008B62FA"/>
    <w:rsid w:val="008B76B2"/>
    <w:rsid w:val="008C02E5"/>
    <w:rsid w:val="008C04C4"/>
    <w:rsid w:val="008C07F7"/>
    <w:rsid w:val="008C0EF5"/>
    <w:rsid w:val="008C13B8"/>
    <w:rsid w:val="008C13EA"/>
    <w:rsid w:val="008C15A5"/>
    <w:rsid w:val="008C19EF"/>
    <w:rsid w:val="008C1AC6"/>
    <w:rsid w:val="008C28F6"/>
    <w:rsid w:val="008C39B1"/>
    <w:rsid w:val="008C3A18"/>
    <w:rsid w:val="008C3B59"/>
    <w:rsid w:val="008C4071"/>
    <w:rsid w:val="008C4175"/>
    <w:rsid w:val="008C4326"/>
    <w:rsid w:val="008C44AF"/>
    <w:rsid w:val="008C4633"/>
    <w:rsid w:val="008C521B"/>
    <w:rsid w:val="008C580C"/>
    <w:rsid w:val="008C6A1A"/>
    <w:rsid w:val="008C6B97"/>
    <w:rsid w:val="008C7674"/>
    <w:rsid w:val="008C78E9"/>
    <w:rsid w:val="008D023D"/>
    <w:rsid w:val="008D055A"/>
    <w:rsid w:val="008D0746"/>
    <w:rsid w:val="008D207D"/>
    <w:rsid w:val="008D23D3"/>
    <w:rsid w:val="008D25F0"/>
    <w:rsid w:val="008D323D"/>
    <w:rsid w:val="008D38F4"/>
    <w:rsid w:val="008D3A3D"/>
    <w:rsid w:val="008D409D"/>
    <w:rsid w:val="008D4178"/>
    <w:rsid w:val="008D4522"/>
    <w:rsid w:val="008D4550"/>
    <w:rsid w:val="008D50C5"/>
    <w:rsid w:val="008D54DB"/>
    <w:rsid w:val="008D56BE"/>
    <w:rsid w:val="008D5F3C"/>
    <w:rsid w:val="008D67EC"/>
    <w:rsid w:val="008D68FE"/>
    <w:rsid w:val="008D714D"/>
    <w:rsid w:val="008E0028"/>
    <w:rsid w:val="008E0ABD"/>
    <w:rsid w:val="008E1635"/>
    <w:rsid w:val="008E1FE3"/>
    <w:rsid w:val="008E2D6C"/>
    <w:rsid w:val="008E32A9"/>
    <w:rsid w:val="008E3AFA"/>
    <w:rsid w:val="008E3F9E"/>
    <w:rsid w:val="008E4390"/>
    <w:rsid w:val="008E43E2"/>
    <w:rsid w:val="008E5249"/>
    <w:rsid w:val="008E6E3A"/>
    <w:rsid w:val="008E7439"/>
    <w:rsid w:val="008F0B17"/>
    <w:rsid w:val="008F10AE"/>
    <w:rsid w:val="008F183E"/>
    <w:rsid w:val="008F1F7D"/>
    <w:rsid w:val="008F2434"/>
    <w:rsid w:val="008F2C68"/>
    <w:rsid w:val="008F358B"/>
    <w:rsid w:val="008F5707"/>
    <w:rsid w:val="008F69DE"/>
    <w:rsid w:val="008F6ECE"/>
    <w:rsid w:val="008F7433"/>
    <w:rsid w:val="0090084E"/>
    <w:rsid w:val="009020CD"/>
    <w:rsid w:val="00902140"/>
    <w:rsid w:val="009029B0"/>
    <w:rsid w:val="00902AD3"/>
    <w:rsid w:val="00902F0C"/>
    <w:rsid w:val="00904DC5"/>
    <w:rsid w:val="009050CC"/>
    <w:rsid w:val="009060B9"/>
    <w:rsid w:val="00906326"/>
    <w:rsid w:val="00907163"/>
    <w:rsid w:val="00907253"/>
    <w:rsid w:val="0090797E"/>
    <w:rsid w:val="00907A6D"/>
    <w:rsid w:val="00907C5B"/>
    <w:rsid w:val="0091090F"/>
    <w:rsid w:val="009109CF"/>
    <w:rsid w:val="009109E7"/>
    <w:rsid w:val="009110A1"/>
    <w:rsid w:val="009112DB"/>
    <w:rsid w:val="00911792"/>
    <w:rsid w:val="00911D33"/>
    <w:rsid w:val="00912B7C"/>
    <w:rsid w:val="009133F6"/>
    <w:rsid w:val="009142F0"/>
    <w:rsid w:val="0091432C"/>
    <w:rsid w:val="009143C4"/>
    <w:rsid w:val="009148BB"/>
    <w:rsid w:val="00914A10"/>
    <w:rsid w:val="00914A74"/>
    <w:rsid w:val="00915462"/>
    <w:rsid w:val="009160B5"/>
    <w:rsid w:val="00917993"/>
    <w:rsid w:val="009201CF"/>
    <w:rsid w:val="00920BF8"/>
    <w:rsid w:val="009218C3"/>
    <w:rsid w:val="00921F31"/>
    <w:rsid w:val="00922A5D"/>
    <w:rsid w:val="00922B15"/>
    <w:rsid w:val="00922FE2"/>
    <w:rsid w:val="009230F1"/>
    <w:rsid w:val="009231DF"/>
    <w:rsid w:val="00923454"/>
    <w:rsid w:val="00923D68"/>
    <w:rsid w:val="0092451E"/>
    <w:rsid w:val="00924CA8"/>
    <w:rsid w:val="00925271"/>
    <w:rsid w:val="00925CE4"/>
    <w:rsid w:val="0092668A"/>
    <w:rsid w:val="00926741"/>
    <w:rsid w:val="00926939"/>
    <w:rsid w:val="00926A1E"/>
    <w:rsid w:val="00926B2D"/>
    <w:rsid w:val="009273B7"/>
    <w:rsid w:val="00927642"/>
    <w:rsid w:val="00927A0A"/>
    <w:rsid w:val="00927C6C"/>
    <w:rsid w:val="00927E7F"/>
    <w:rsid w:val="00930211"/>
    <w:rsid w:val="00930578"/>
    <w:rsid w:val="00930BFD"/>
    <w:rsid w:val="00932208"/>
    <w:rsid w:val="00932848"/>
    <w:rsid w:val="009329BD"/>
    <w:rsid w:val="00932F78"/>
    <w:rsid w:val="00933743"/>
    <w:rsid w:val="00933861"/>
    <w:rsid w:val="0093472D"/>
    <w:rsid w:val="00934B08"/>
    <w:rsid w:val="0093655F"/>
    <w:rsid w:val="009365DE"/>
    <w:rsid w:val="0093680F"/>
    <w:rsid w:val="00936A01"/>
    <w:rsid w:val="00936CAD"/>
    <w:rsid w:val="00937F93"/>
    <w:rsid w:val="0094012A"/>
    <w:rsid w:val="00940309"/>
    <w:rsid w:val="00941BEA"/>
    <w:rsid w:val="00942290"/>
    <w:rsid w:val="00942DDB"/>
    <w:rsid w:val="00943589"/>
    <w:rsid w:val="00943B56"/>
    <w:rsid w:val="00943CA9"/>
    <w:rsid w:val="00943FD5"/>
    <w:rsid w:val="00944A05"/>
    <w:rsid w:val="00946026"/>
    <w:rsid w:val="009461A1"/>
    <w:rsid w:val="00946AD9"/>
    <w:rsid w:val="00947628"/>
    <w:rsid w:val="00951A9A"/>
    <w:rsid w:val="0095275F"/>
    <w:rsid w:val="00952951"/>
    <w:rsid w:val="00953176"/>
    <w:rsid w:val="009539BE"/>
    <w:rsid w:val="00953FE9"/>
    <w:rsid w:val="00954233"/>
    <w:rsid w:val="00954397"/>
    <w:rsid w:val="00954B36"/>
    <w:rsid w:val="00954FD3"/>
    <w:rsid w:val="0095607F"/>
    <w:rsid w:val="009560B3"/>
    <w:rsid w:val="00956D5D"/>
    <w:rsid w:val="00956F42"/>
    <w:rsid w:val="009576EC"/>
    <w:rsid w:val="00957CF1"/>
    <w:rsid w:val="00957D96"/>
    <w:rsid w:val="009602CE"/>
    <w:rsid w:val="0096117B"/>
    <w:rsid w:val="00961234"/>
    <w:rsid w:val="00961926"/>
    <w:rsid w:val="00961970"/>
    <w:rsid w:val="00962896"/>
    <w:rsid w:val="00963CFD"/>
    <w:rsid w:val="0096401F"/>
    <w:rsid w:val="00966A50"/>
    <w:rsid w:val="009674FC"/>
    <w:rsid w:val="00967B4C"/>
    <w:rsid w:val="00967B89"/>
    <w:rsid w:val="00967D03"/>
    <w:rsid w:val="00970145"/>
    <w:rsid w:val="009709B9"/>
    <w:rsid w:val="0097161A"/>
    <w:rsid w:val="009718F7"/>
    <w:rsid w:val="00971E14"/>
    <w:rsid w:val="00971F6F"/>
    <w:rsid w:val="009725B3"/>
    <w:rsid w:val="009726F0"/>
    <w:rsid w:val="00973AA5"/>
    <w:rsid w:val="00973C3E"/>
    <w:rsid w:val="009740C5"/>
    <w:rsid w:val="0097465B"/>
    <w:rsid w:val="00974D33"/>
    <w:rsid w:val="00974F60"/>
    <w:rsid w:val="00975774"/>
    <w:rsid w:val="0097672F"/>
    <w:rsid w:val="00977BEF"/>
    <w:rsid w:val="009801F8"/>
    <w:rsid w:val="009801FB"/>
    <w:rsid w:val="0098092B"/>
    <w:rsid w:val="00982278"/>
    <w:rsid w:val="00982568"/>
    <w:rsid w:val="00982D11"/>
    <w:rsid w:val="00983032"/>
    <w:rsid w:val="009832A6"/>
    <w:rsid w:val="00983508"/>
    <w:rsid w:val="00983A99"/>
    <w:rsid w:val="00984074"/>
    <w:rsid w:val="009842E7"/>
    <w:rsid w:val="0098445D"/>
    <w:rsid w:val="0098483F"/>
    <w:rsid w:val="00984B16"/>
    <w:rsid w:val="00984BA1"/>
    <w:rsid w:val="00984C0F"/>
    <w:rsid w:val="0098554A"/>
    <w:rsid w:val="00986B30"/>
    <w:rsid w:val="0098761D"/>
    <w:rsid w:val="00987BA7"/>
    <w:rsid w:val="00987F1F"/>
    <w:rsid w:val="00990A18"/>
    <w:rsid w:val="009918CC"/>
    <w:rsid w:val="00991996"/>
    <w:rsid w:val="00991F27"/>
    <w:rsid w:val="009920AC"/>
    <w:rsid w:val="009948F6"/>
    <w:rsid w:val="0099581A"/>
    <w:rsid w:val="00995BBD"/>
    <w:rsid w:val="00997354"/>
    <w:rsid w:val="0099791E"/>
    <w:rsid w:val="0099793B"/>
    <w:rsid w:val="00997E5D"/>
    <w:rsid w:val="009A01E5"/>
    <w:rsid w:val="009A020C"/>
    <w:rsid w:val="009A0B7C"/>
    <w:rsid w:val="009A0D21"/>
    <w:rsid w:val="009A0DAA"/>
    <w:rsid w:val="009A10BB"/>
    <w:rsid w:val="009A111A"/>
    <w:rsid w:val="009A1E76"/>
    <w:rsid w:val="009A238A"/>
    <w:rsid w:val="009A23F1"/>
    <w:rsid w:val="009A2DE0"/>
    <w:rsid w:val="009A3EA7"/>
    <w:rsid w:val="009A473F"/>
    <w:rsid w:val="009A53E8"/>
    <w:rsid w:val="009A571E"/>
    <w:rsid w:val="009A6ACC"/>
    <w:rsid w:val="009A71C3"/>
    <w:rsid w:val="009A7592"/>
    <w:rsid w:val="009A7894"/>
    <w:rsid w:val="009A79F4"/>
    <w:rsid w:val="009B15F7"/>
    <w:rsid w:val="009B26D7"/>
    <w:rsid w:val="009B2751"/>
    <w:rsid w:val="009B2DAF"/>
    <w:rsid w:val="009B3C3A"/>
    <w:rsid w:val="009B5323"/>
    <w:rsid w:val="009B549A"/>
    <w:rsid w:val="009B5816"/>
    <w:rsid w:val="009B5925"/>
    <w:rsid w:val="009B6000"/>
    <w:rsid w:val="009B736F"/>
    <w:rsid w:val="009B74E8"/>
    <w:rsid w:val="009C0235"/>
    <w:rsid w:val="009C02C1"/>
    <w:rsid w:val="009C0903"/>
    <w:rsid w:val="009C0F86"/>
    <w:rsid w:val="009C11E7"/>
    <w:rsid w:val="009C120C"/>
    <w:rsid w:val="009C127B"/>
    <w:rsid w:val="009C15BA"/>
    <w:rsid w:val="009C1698"/>
    <w:rsid w:val="009C17E6"/>
    <w:rsid w:val="009C1B79"/>
    <w:rsid w:val="009C330B"/>
    <w:rsid w:val="009C33C1"/>
    <w:rsid w:val="009C3B7A"/>
    <w:rsid w:val="009C4142"/>
    <w:rsid w:val="009C424B"/>
    <w:rsid w:val="009C4345"/>
    <w:rsid w:val="009C529F"/>
    <w:rsid w:val="009C538F"/>
    <w:rsid w:val="009C53FA"/>
    <w:rsid w:val="009C5569"/>
    <w:rsid w:val="009C5C9C"/>
    <w:rsid w:val="009C604F"/>
    <w:rsid w:val="009C7213"/>
    <w:rsid w:val="009D0B00"/>
    <w:rsid w:val="009D1656"/>
    <w:rsid w:val="009D177F"/>
    <w:rsid w:val="009D259B"/>
    <w:rsid w:val="009D2F3E"/>
    <w:rsid w:val="009D348B"/>
    <w:rsid w:val="009D39F0"/>
    <w:rsid w:val="009D3D43"/>
    <w:rsid w:val="009D447B"/>
    <w:rsid w:val="009D449B"/>
    <w:rsid w:val="009D476D"/>
    <w:rsid w:val="009D4A66"/>
    <w:rsid w:val="009D5826"/>
    <w:rsid w:val="009D5A08"/>
    <w:rsid w:val="009D5F14"/>
    <w:rsid w:val="009D72EC"/>
    <w:rsid w:val="009E103E"/>
    <w:rsid w:val="009E11A8"/>
    <w:rsid w:val="009E1601"/>
    <w:rsid w:val="009E1620"/>
    <w:rsid w:val="009E1815"/>
    <w:rsid w:val="009E1845"/>
    <w:rsid w:val="009E1CFD"/>
    <w:rsid w:val="009E25B9"/>
    <w:rsid w:val="009E4A1C"/>
    <w:rsid w:val="009E6151"/>
    <w:rsid w:val="009E6755"/>
    <w:rsid w:val="009E6940"/>
    <w:rsid w:val="009E6BEC"/>
    <w:rsid w:val="009E6C41"/>
    <w:rsid w:val="009E761E"/>
    <w:rsid w:val="009F0770"/>
    <w:rsid w:val="009F0D4E"/>
    <w:rsid w:val="009F1152"/>
    <w:rsid w:val="009F17E7"/>
    <w:rsid w:val="009F1B11"/>
    <w:rsid w:val="009F2295"/>
    <w:rsid w:val="009F229E"/>
    <w:rsid w:val="009F232C"/>
    <w:rsid w:val="009F3053"/>
    <w:rsid w:val="009F31C5"/>
    <w:rsid w:val="009F324C"/>
    <w:rsid w:val="009F3BE5"/>
    <w:rsid w:val="009F5FF3"/>
    <w:rsid w:val="009F6281"/>
    <w:rsid w:val="009F687C"/>
    <w:rsid w:val="009F6AEE"/>
    <w:rsid w:val="009F7078"/>
    <w:rsid w:val="009F710F"/>
    <w:rsid w:val="00A003F4"/>
    <w:rsid w:val="00A012D9"/>
    <w:rsid w:val="00A017C8"/>
    <w:rsid w:val="00A01957"/>
    <w:rsid w:val="00A01EAC"/>
    <w:rsid w:val="00A01FEB"/>
    <w:rsid w:val="00A02137"/>
    <w:rsid w:val="00A039B9"/>
    <w:rsid w:val="00A03F2D"/>
    <w:rsid w:val="00A041BB"/>
    <w:rsid w:val="00A044C1"/>
    <w:rsid w:val="00A04CE0"/>
    <w:rsid w:val="00A058C6"/>
    <w:rsid w:val="00A05DCA"/>
    <w:rsid w:val="00A06479"/>
    <w:rsid w:val="00A064EC"/>
    <w:rsid w:val="00A0670F"/>
    <w:rsid w:val="00A06ABC"/>
    <w:rsid w:val="00A07258"/>
    <w:rsid w:val="00A07887"/>
    <w:rsid w:val="00A10229"/>
    <w:rsid w:val="00A102D5"/>
    <w:rsid w:val="00A104FA"/>
    <w:rsid w:val="00A10615"/>
    <w:rsid w:val="00A10681"/>
    <w:rsid w:val="00A10788"/>
    <w:rsid w:val="00A1115C"/>
    <w:rsid w:val="00A11238"/>
    <w:rsid w:val="00A11CD7"/>
    <w:rsid w:val="00A12103"/>
    <w:rsid w:val="00A12869"/>
    <w:rsid w:val="00A135B5"/>
    <w:rsid w:val="00A1362D"/>
    <w:rsid w:val="00A13B35"/>
    <w:rsid w:val="00A14978"/>
    <w:rsid w:val="00A171C9"/>
    <w:rsid w:val="00A1779B"/>
    <w:rsid w:val="00A179BD"/>
    <w:rsid w:val="00A17A73"/>
    <w:rsid w:val="00A17B5C"/>
    <w:rsid w:val="00A21511"/>
    <w:rsid w:val="00A215CF"/>
    <w:rsid w:val="00A2173B"/>
    <w:rsid w:val="00A21B64"/>
    <w:rsid w:val="00A220C1"/>
    <w:rsid w:val="00A22526"/>
    <w:rsid w:val="00A22A98"/>
    <w:rsid w:val="00A22F65"/>
    <w:rsid w:val="00A233AD"/>
    <w:rsid w:val="00A23662"/>
    <w:rsid w:val="00A246A9"/>
    <w:rsid w:val="00A2487D"/>
    <w:rsid w:val="00A24E26"/>
    <w:rsid w:val="00A2638A"/>
    <w:rsid w:val="00A263B2"/>
    <w:rsid w:val="00A27BA3"/>
    <w:rsid w:val="00A27DB2"/>
    <w:rsid w:val="00A30064"/>
    <w:rsid w:val="00A30A84"/>
    <w:rsid w:val="00A31419"/>
    <w:rsid w:val="00A32FA4"/>
    <w:rsid w:val="00A32FF5"/>
    <w:rsid w:val="00A331E6"/>
    <w:rsid w:val="00A348C3"/>
    <w:rsid w:val="00A34C7C"/>
    <w:rsid w:val="00A34D14"/>
    <w:rsid w:val="00A35034"/>
    <w:rsid w:val="00A35769"/>
    <w:rsid w:val="00A358AE"/>
    <w:rsid w:val="00A36FB9"/>
    <w:rsid w:val="00A37256"/>
    <w:rsid w:val="00A37418"/>
    <w:rsid w:val="00A37492"/>
    <w:rsid w:val="00A37A43"/>
    <w:rsid w:val="00A37E74"/>
    <w:rsid w:val="00A40210"/>
    <w:rsid w:val="00A407DC"/>
    <w:rsid w:val="00A408BE"/>
    <w:rsid w:val="00A411E0"/>
    <w:rsid w:val="00A413EF"/>
    <w:rsid w:val="00A41748"/>
    <w:rsid w:val="00A41B07"/>
    <w:rsid w:val="00A42075"/>
    <w:rsid w:val="00A427E1"/>
    <w:rsid w:val="00A43335"/>
    <w:rsid w:val="00A4347F"/>
    <w:rsid w:val="00A435EE"/>
    <w:rsid w:val="00A44682"/>
    <w:rsid w:val="00A449E0"/>
    <w:rsid w:val="00A44CAB"/>
    <w:rsid w:val="00A455BF"/>
    <w:rsid w:val="00A47C01"/>
    <w:rsid w:val="00A50882"/>
    <w:rsid w:val="00A509B4"/>
    <w:rsid w:val="00A50FBF"/>
    <w:rsid w:val="00A51E16"/>
    <w:rsid w:val="00A51E4E"/>
    <w:rsid w:val="00A52477"/>
    <w:rsid w:val="00A52D47"/>
    <w:rsid w:val="00A537F1"/>
    <w:rsid w:val="00A550D7"/>
    <w:rsid w:val="00A552BF"/>
    <w:rsid w:val="00A5591E"/>
    <w:rsid w:val="00A56B89"/>
    <w:rsid w:val="00A56DF8"/>
    <w:rsid w:val="00A579F5"/>
    <w:rsid w:val="00A57C37"/>
    <w:rsid w:val="00A60165"/>
    <w:rsid w:val="00A6037B"/>
    <w:rsid w:val="00A60CDF"/>
    <w:rsid w:val="00A6123C"/>
    <w:rsid w:val="00A616AC"/>
    <w:rsid w:val="00A6186A"/>
    <w:rsid w:val="00A62502"/>
    <w:rsid w:val="00A629A9"/>
    <w:rsid w:val="00A62B29"/>
    <w:rsid w:val="00A62EB4"/>
    <w:rsid w:val="00A6312E"/>
    <w:rsid w:val="00A63596"/>
    <w:rsid w:val="00A63B5A"/>
    <w:rsid w:val="00A63FA8"/>
    <w:rsid w:val="00A6411C"/>
    <w:rsid w:val="00A6436E"/>
    <w:rsid w:val="00A64697"/>
    <w:rsid w:val="00A64699"/>
    <w:rsid w:val="00A650C1"/>
    <w:rsid w:val="00A6530A"/>
    <w:rsid w:val="00A65696"/>
    <w:rsid w:val="00A656CA"/>
    <w:rsid w:val="00A65963"/>
    <w:rsid w:val="00A65BC0"/>
    <w:rsid w:val="00A665B7"/>
    <w:rsid w:val="00A66759"/>
    <w:rsid w:val="00A66F29"/>
    <w:rsid w:val="00A67342"/>
    <w:rsid w:val="00A67FDB"/>
    <w:rsid w:val="00A70522"/>
    <w:rsid w:val="00A7172C"/>
    <w:rsid w:val="00A71C8F"/>
    <w:rsid w:val="00A71D8E"/>
    <w:rsid w:val="00A72F8A"/>
    <w:rsid w:val="00A73353"/>
    <w:rsid w:val="00A744A1"/>
    <w:rsid w:val="00A74842"/>
    <w:rsid w:val="00A74A06"/>
    <w:rsid w:val="00A74A61"/>
    <w:rsid w:val="00A75795"/>
    <w:rsid w:val="00A757CF"/>
    <w:rsid w:val="00A76B4F"/>
    <w:rsid w:val="00A77448"/>
    <w:rsid w:val="00A77CAF"/>
    <w:rsid w:val="00A80D58"/>
    <w:rsid w:val="00A80F2D"/>
    <w:rsid w:val="00A80F48"/>
    <w:rsid w:val="00A82230"/>
    <w:rsid w:val="00A824D0"/>
    <w:rsid w:val="00A82BAB"/>
    <w:rsid w:val="00A83472"/>
    <w:rsid w:val="00A840D5"/>
    <w:rsid w:val="00A8456E"/>
    <w:rsid w:val="00A84BF4"/>
    <w:rsid w:val="00A851B8"/>
    <w:rsid w:val="00A900FF"/>
    <w:rsid w:val="00A9010B"/>
    <w:rsid w:val="00A901CF"/>
    <w:rsid w:val="00A902FD"/>
    <w:rsid w:val="00A90B4E"/>
    <w:rsid w:val="00A9113C"/>
    <w:rsid w:val="00A93A62"/>
    <w:rsid w:val="00A941FA"/>
    <w:rsid w:val="00A945AA"/>
    <w:rsid w:val="00A965A8"/>
    <w:rsid w:val="00A96D3A"/>
    <w:rsid w:val="00A972EA"/>
    <w:rsid w:val="00A974CF"/>
    <w:rsid w:val="00A97B11"/>
    <w:rsid w:val="00A97C23"/>
    <w:rsid w:val="00AA1968"/>
    <w:rsid w:val="00AA29A8"/>
    <w:rsid w:val="00AA4798"/>
    <w:rsid w:val="00AA4867"/>
    <w:rsid w:val="00AA4EFD"/>
    <w:rsid w:val="00AA5234"/>
    <w:rsid w:val="00AA60B6"/>
    <w:rsid w:val="00AA6F14"/>
    <w:rsid w:val="00AA741B"/>
    <w:rsid w:val="00AA7AEE"/>
    <w:rsid w:val="00AA7D76"/>
    <w:rsid w:val="00AB0E71"/>
    <w:rsid w:val="00AB1112"/>
    <w:rsid w:val="00AB1132"/>
    <w:rsid w:val="00AB12C2"/>
    <w:rsid w:val="00AB1D43"/>
    <w:rsid w:val="00AB1E01"/>
    <w:rsid w:val="00AB1F4E"/>
    <w:rsid w:val="00AB21FD"/>
    <w:rsid w:val="00AB29FD"/>
    <w:rsid w:val="00AB2DEE"/>
    <w:rsid w:val="00AB3BC1"/>
    <w:rsid w:val="00AB6293"/>
    <w:rsid w:val="00AB66F3"/>
    <w:rsid w:val="00AB6F73"/>
    <w:rsid w:val="00AB70C0"/>
    <w:rsid w:val="00AB76FC"/>
    <w:rsid w:val="00AC0A98"/>
    <w:rsid w:val="00AC1731"/>
    <w:rsid w:val="00AC1DE4"/>
    <w:rsid w:val="00AC262B"/>
    <w:rsid w:val="00AC331E"/>
    <w:rsid w:val="00AC3FFF"/>
    <w:rsid w:val="00AC4005"/>
    <w:rsid w:val="00AC4155"/>
    <w:rsid w:val="00AC4EDE"/>
    <w:rsid w:val="00AC5C1C"/>
    <w:rsid w:val="00AC5CAD"/>
    <w:rsid w:val="00AC6234"/>
    <w:rsid w:val="00AC66F4"/>
    <w:rsid w:val="00AC705B"/>
    <w:rsid w:val="00AC7559"/>
    <w:rsid w:val="00AC77C9"/>
    <w:rsid w:val="00AC7A0A"/>
    <w:rsid w:val="00AC7C79"/>
    <w:rsid w:val="00AD0089"/>
    <w:rsid w:val="00AD10F7"/>
    <w:rsid w:val="00AD14EC"/>
    <w:rsid w:val="00AD165D"/>
    <w:rsid w:val="00AD1800"/>
    <w:rsid w:val="00AD1831"/>
    <w:rsid w:val="00AD1FBD"/>
    <w:rsid w:val="00AD2C26"/>
    <w:rsid w:val="00AD3235"/>
    <w:rsid w:val="00AD33FD"/>
    <w:rsid w:val="00AD3A54"/>
    <w:rsid w:val="00AD3AF3"/>
    <w:rsid w:val="00AD3B3D"/>
    <w:rsid w:val="00AD3BC2"/>
    <w:rsid w:val="00AD49B3"/>
    <w:rsid w:val="00AD4F51"/>
    <w:rsid w:val="00AD6B2C"/>
    <w:rsid w:val="00AD7371"/>
    <w:rsid w:val="00AD754B"/>
    <w:rsid w:val="00AD7B6E"/>
    <w:rsid w:val="00AD7CD9"/>
    <w:rsid w:val="00AD7DFA"/>
    <w:rsid w:val="00AE00B0"/>
    <w:rsid w:val="00AE0CB0"/>
    <w:rsid w:val="00AE2218"/>
    <w:rsid w:val="00AE22B4"/>
    <w:rsid w:val="00AE244C"/>
    <w:rsid w:val="00AE2DE8"/>
    <w:rsid w:val="00AE2F3B"/>
    <w:rsid w:val="00AE30DD"/>
    <w:rsid w:val="00AE360B"/>
    <w:rsid w:val="00AE37C6"/>
    <w:rsid w:val="00AE3D95"/>
    <w:rsid w:val="00AE4B97"/>
    <w:rsid w:val="00AE4DB3"/>
    <w:rsid w:val="00AE6323"/>
    <w:rsid w:val="00AE685F"/>
    <w:rsid w:val="00AE7759"/>
    <w:rsid w:val="00AE7977"/>
    <w:rsid w:val="00AF05AB"/>
    <w:rsid w:val="00AF07D8"/>
    <w:rsid w:val="00AF0FD5"/>
    <w:rsid w:val="00AF1B74"/>
    <w:rsid w:val="00AF1FA7"/>
    <w:rsid w:val="00AF24B7"/>
    <w:rsid w:val="00AF2521"/>
    <w:rsid w:val="00AF383B"/>
    <w:rsid w:val="00AF38F3"/>
    <w:rsid w:val="00AF3C21"/>
    <w:rsid w:val="00AF4809"/>
    <w:rsid w:val="00AF541B"/>
    <w:rsid w:val="00AF5F3B"/>
    <w:rsid w:val="00AF632E"/>
    <w:rsid w:val="00AF7718"/>
    <w:rsid w:val="00AF7DFA"/>
    <w:rsid w:val="00B00419"/>
    <w:rsid w:val="00B004E4"/>
    <w:rsid w:val="00B009F0"/>
    <w:rsid w:val="00B00BAE"/>
    <w:rsid w:val="00B014DB"/>
    <w:rsid w:val="00B01E2B"/>
    <w:rsid w:val="00B022E3"/>
    <w:rsid w:val="00B02D5E"/>
    <w:rsid w:val="00B033DA"/>
    <w:rsid w:val="00B03453"/>
    <w:rsid w:val="00B0432D"/>
    <w:rsid w:val="00B067F5"/>
    <w:rsid w:val="00B06F49"/>
    <w:rsid w:val="00B07F0F"/>
    <w:rsid w:val="00B07F86"/>
    <w:rsid w:val="00B1059E"/>
    <w:rsid w:val="00B1172B"/>
    <w:rsid w:val="00B11757"/>
    <w:rsid w:val="00B11AD3"/>
    <w:rsid w:val="00B12299"/>
    <w:rsid w:val="00B12357"/>
    <w:rsid w:val="00B124F7"/>
    <w:rsid w:val="00B15693"/>
    <w:rsid w:val="00B1594A"/>
    <w:rsid w:val="00B15DC2"/>
    <w:rsid w:val="00B15FCF"/>
    <w:rsid w:val="00B16CDB"/>
    <w:rsid w:val="00B203A8"/>
    <w:rsid w:val="00B2095C"/>
    <w:rsid w:val="00B209F4"/>
    <w:rsid w:val="00B22DF6"/>
    <w:rsid w:val="00B22FCD"/>
    <w:rsid w:val="00B23066"/>
    <w:rsid w:val="00B23607"/>
    <w:rsid w:val="00B23D2C"/>
    <w:rsid w:val="00B24706"/>
    <w:rsid w:val="00B24964"/>
    <w:rsid w:val="00B24C21"/>
    <w:rsid w:val="00B2605F"/>
    <w:rsid w:val="00B262B0"/>
    <w:rsid w:val="00B265F4"/>
    <w:rsid w:val="00B27543"/>
    <w:rsid w:val="00B301A9"/>
    <w:rsid w:val="00B304E1"/>
    <w:rsid w:val="00B305CF"/>
    <w:rsid w:val="00B30AED"/>
    <w:rsid w:val="00B3199E"/>
    <w:rsid w:val="00B31B58"/>
    <w:rsid w:val="00B31EBE"/>
    <w:rsid w:val="00B3205F"/>
    <w:rsid w:val="00B33826"/>
    <w:rsid w:val="00B33AC1"/>
    <w:rsid w:val="00B33B88"/>
    <w:rsid w:val="00B33DC0"/>
    <w:rsid w:val="00B340EB"/>
    <w:rsid w:val="00B34666"/>
    <w:rsid w:val="00B35E10"/>
    <w:rsid w:val="00B35F18"/>
    <w:rsid w:val="00B36DC4"/>
    <w:rsid w:val="00B374A1"/>
    <w:rsid w:val="00B37919"/>
    <w:rsid w:val="00B37B16"/>
    <w:rsid w:val="00B40004"/>
    <w:rsid w:val="00B400D5"/>
    <w:rsid w:val="00B4087C"/>
    <w:rsid w:val="00B408AE"/>
    <w:rsid w:val="00B40BD3"/>
    <w:rsid w:val="00B41009"/>
    <w:rsid w:val="00B410A5"/>
    <w:rsid w:val="00B4111D"/>
    <w:rsid w:val="00B41181"/>
    <w:rsid w:val="00B41E28"/>
    <w:rsid w:val="00B420A5"/>
    <w:rsid w:val="00B420CE"/>
    <w:rsid w:val="00B42761"/>
    <w:rsid w:val="00B429AF"/>
    <w:rsid w:val="00B42A30"/>
    <w:rsid w:val="00B42F30"/>
    <w:rsid w:val="00B43873"/>
    <w:rsid w:val="00B4387E"/>
    <w:rsid w:val="00B438DF"/>
    <w:rsid w:val="00B438F8"/>
    <w:rsid w:val="00B44135"/>
    <w:rsid w:val="00B4418F"/>
    <w:rsid w:val="00B44A07"/>
    <w:rsid w:val="00B4517B"/>
    <w:rsid w:val="00B45C8C"/>
    <w:rsid w:val="00B45CBA"/>
    <w:rsid w:val="00B46200"/>
    <w:rsid w:val="00B4638C"/>
    <w:rsid w:val="00B46A21"/>
    <w:rsid w:val="00B46B96"/>
    <w:rsid w:val="00B47A74"/>
    <w:rsid w:val="00B50951"/>
    <w:rsid w:val="00B50CDC"/>
    <w:rsid w:val="00B52706"/>
    <w:rsid w:val="00B52B69"/>
    <w:rsid w:val="00B53248"/>
    <w:rsid w:val="00B5454C"/>
    <w:rsid w:val="00B5469D"/>
    <w:rsid w:val="00B552CF"/>
    <w:rsid w:val="00B55454"/>
    <w:rsid w:val="00B55546"/>
    <w:rsid w:val="00B55CB6"/>
    <w:rsid w:val="00B55D2C"/>
    <w:rsid w:val="00B562C7"/>
    <w:rsid w:val="00B5636C"/>
    <w:rsid w:val="00B57011"/>
    <w:rsid w:val="00B57979"/>
    <w:rsid w:val="00B57F84"/>
    <w:rsid w:val="00B60085"/>
    <w:rsid w:val="00B60EEC"/>
    <w:rsid w:val="00B6140C"/>
    <w:rsid w:val="00B62F85"/>
    <w:rsid w:val="00B6329A"/>
    <w:rsid w:val="00B63F7A"/>
    <w:rsid w:val="00B641F8"/>
    <w:rsid w:val="00B64333"/>
    <w:rsid w:val="00B644A6"/>
    <w:rsid w:val="00B6540F"/>
    <w:rsid w:val="00B65E8F"/>
    <w:rsid w:val="00B66351"/>
    <w:rsid w:val="00B66711"/>
    <w:rsid w:val="00B668B6"/>
    <w:rsid w:val="00B67014"/>
    <w:rsid w:val="00B67A76"/>
    <w:rsid w:val="00B7023F"/>
    <w:rsid w:val="00B705A7"/>
    <w:rsid w:val="00B709BF"/>
    <w:rsid w:val="00B70AD7"/>
    <w:rsid w:val="00B70ADE"/>
    <w:rsid w:val="00B71A2A"/>
    <w:rsid w:val="00B724E8"/>
    <w:rsid w:val="00B731FF"/>
    <w:rsid w:val="00B73E57"/>
    <w:rsid w:val="00B74074"/>
    <w:rsid w:val="00B745CB"/>
    <w:rsid w:val="00B74757"/>
    <w:rsid w:val="00B74830"/>
    <w:rsid w:val="00B74B5F"/>
    <w:rsid w:val="00B75993"/>
    <w:rsid w:val="00B75F47"/>
    <w:rsid w:val="00B77698"/>
    <w:rsid w:val="00B77DC9"/>
    <w:rsid w:val="00B8085B"/>
    <w:rsid w:val="00B80C0A"/>
    <w:rsid w:val="00B815C0"/>
    <w:rsid w:val="00B81B11"/>
    <w:rsid w:val="00B81E1A"/>
    <w:rsid w:val="00B81F04"/>
    <w:rsid w:val="00B825F1"/>
    <w:rsid w:val="00B827BD"/>
    <w:rsid w:val="00B843D5"/>
    <w:rsid w:val="00B846FF"/>
    <w:rsid w:val="00B84756"/>
    <w:rsid w:val="00B8504C"/>
    <w:rsid w:val="00B85B73"/>
    <w:rsid w:val="00B864B3"/>
    <w:rsid w:val="00B864BA"/>
    <w:rsid w:val="00B8751E"/>
    <w:rsid w:val="00B90361"/>
    <w:rsid w:val="00B90449"/>
    <w:rsid w:val="00B9075C"/>
    <w:rsid w:val="00B90A5A"/>
    <w:rsid w:val="00B91038"/>
    <w:rsid w:val="00B91D42"/>
    <w:rsid w:val="00B923C6"/>
    <w:rsid w:val="00B9305F"/>
    <w:rsid w:val="00B9358F"/>
    <w:rsid w:val="00B93620"/>
    <w:rsid w:val="00B94186"/>
    <w:rsid w:val="00B94698"/>
    <w:rsid w:val="00B94813"/>
    <w:rsid w:val="00B94A42"/>
    <w:rsid w:val="00B94E20"/>
    <w:rsid w:val="00B94F43"/>
    <w:rsid w:val="00B957BE"/>
    <w:rsid w:val="00B95C59"/>
    <w:rsid w:val="00B9603F"/>
    <w:rsid w:val="00B96713"/>
    <w:rsid w:val="00B96F7C"/>
    <w:rsid w:val="00B97BDC"/>
    <w:rsid w:val="00B97E53"/>
    <w:rsid w:val="00BA01E9"/>
    <w:rsid w:val="00BA031B"/>
    <w:rsid w:val="00BA05E8"/>
    <w:rsid w:val="00BA1357"/>
    <w:rsid w:val="00BA1BF2"/>
    <w:rsid w:val="00BA22B7"/>
    <w:rsid w:val="00BA27B6"/>
    <w:rsid w:val="00BA2CB0"/>
    <w:rsid w:val="00BA30DD"/>
    <w:rsid w:val="00BA315D"/>
    <w:rsid w:val="00BA3514"/>
    <w:rsid w:val="00BA400E"/>
    <w:rsid w:val="00BA4351"/>
    <w:rsid w:val="00BA4805"/>
    <w:rsid w:val="00BA4AB4"/>
    <w:rsid w:val="00BA64A4"/>
    <w:rsid w:val="00BA72BC"/>
    <w:rsid w:val="00BA7378"/>
    <w:rsid w:val="00BA7606"/>
    <w:rsid w:val="00BA79DA"/>
    <w:rsid w:val="00BB1FAD"/>
    <w:rsid w:val="00BB2BF0"/>
    <w:rsid w:val="00BB3FAB"/>
    <w:rsid w:val="00BB478E"/>
    <w:rsid w:val="00BB49CD"/>
    <w:rsid w:val="00BB4E4E"/>
    <w:rsid w:val="00BB501C"/>
    <w:rsid w:val="00BB5ACB"/>
    <w:rsid w:val="00BB5F05"/>
    <w:rsid w:val="00BB6014"/>
    <w:rsid w:val="00BB679B"/>
    <w:rsid w:val="00BB681A"/>
    <w:rsid w:val="00BB6B40"/>
    <w:rsid w:val="00BB6DC5"/>
    <w:rsid w:val="00BB6E17"/>
    <w:rsid w:val="00BB706E"/>
    <w:rsid w:val="00BB7938"/>
    <w:rsid w:val="00BB7FE7"/>
    <w:rsid w:val="00BC0095"/>
    <w:rsid w:val="00BC00BF"/>
    <w:rsid w:val="00BC1576"/>
    <w:rsid w:val="00BC2090"/>
    <w:rsid w:val="00BC234F"/>
    <w:rsid w:val="00BC24F3"/>
    <w:rsid w:val="00BC26C2"/>
    <w:rsid w:val="00BC29A5"/>
    <w:rsid w:val="00BC39AD"/>
    <w:rsid w:val="00BC4DA4"/>
    <w:rsid w:val="00BC6935"/>
    <w:rsid w:val="00BC6F16"/>
    <w:rsid w:val="00BC7660"/>
    <w:rsid w:val="00BD0089"/>
    <w:rsid w:val="00BD05F7"/>
    <w:rsid w:val="00BD1968"/>
    <w:rsid w:val="00BD1D55"/>
    <w:rsid w:val="00BD24A0"/>
    <w:rsid w:val="00BD297E"/>
    <w:rsid w:val="00BD3338"/>
    <w:rsid w:val="00BD34F2"/>
    <w:rsid w:val="00BD3627"/>
    <w:rsid w:val="00BD4028"/>
    <w:rsid w:val="00BD40DE"/>
    <w:rsid w:val="00BD431B"/>
    <w:rsid w:val="00BD4621"/>
    <w:rsid w:val="00BD5094"/>
    <w:rsid w:val="00BD6604"/>
    <w:rsid w:val="00BD6E6D"/>
    <w:rsid w:val="00BD71D0"/>
    <w:rsid w:val="00BE051E"/>
    <w:rsid w:val="00BE100E"/>
    <w:rsid w:val="00BE11C0"/>
    <w:rsid w:val="00BE1933"/>
    <w:rsid w:val="00BE1C29"/>
    <w:rsid w:val="00BE1F55"/>
    <w:rsid w:val="00BE247E"/>
    <w:rsid w:val="00BE25D4"/>
    <w:rsid w:val="00BE2F56"/>
    <w:rsid w:val="00BE313A"/>
    <w:rsid w:val="00BE4330"/>
    <w:rsid w:val="00BE447E"/>
    <w:rsid w:val="00BE52B9"/>
    <w:rsid w:val="00BE569B"/>
    <w:rsid w:val="00BE59BD"/>
    <w:rsid w:val="00BE59E2"/>
    <w:rsid w:val="00BE5D9C"/>
    <w:rsid w:val="00BE5DE6"/>
    <w:rsid w:val="00BE6818"/>
    <w:rsid w:val="00BE714A"/>
    <w:rsid w:val="00BF0852"/>
    <w:rsid w:val="00BF0A51"/>
    <w:rsid w:val="00BF1FA6"/>
    <w:rsid w:val="00BF248E"/>
    <w:rsid w:val="00BF255E"/>
    <w:rsid w:val="00BF2DB3"/>
    <w:rsid w:val="00BF2F40"/>
    <w:rsid w:val="00BF433C"/>
    <w:rsid w:val="00BF476F"/>
    <w:rsid w:val="00BF54CC"/>
    <w:rsid w:val="00BF6ECD"/>
    <w:rsid w:val="00BF786B"/>
    <w:rsid w:val="00BF78B6"/>
    <w:rsid w:val="00BF7A99"/>
    <w:rsid w:val="00C00791"/>
    <w:rsid w:val="00C007D0"/>
    <w:rsid w:val="00C00F41"/>
    <w:rsid w:val="00C01128"/>
    <w:rsid w:val="00C014B8"/>
    <w:rsid w:val="00C01C9D"/>
    <w:rsid w:val="00C01F15"/>
    <w:rsid w:val="00C02365"/>
    <w:rsid w:val="00C02418"/>
    <w:rsid w:val="00C0247A"/>
    <w:rsid w:val="00C031DB"/>
    <w:rsid w:val="00C0475A"/>
    <w:rsid w:val="00C0516D"/>
    <w:rsid w:val="00C06252"/>
    <w:rsid w:val="00C06511"/>
    <w:rsid w:val="00C07097"/>
    <w:rsid w:val="00C07A68"/>
    <w:rsid w:val="00C11BAD"/>
    <w:rsid w:val="00C13AB8"/>
    <w:rsid w:val="00C13CDA"/>
    <w:rsid w:val="00C13E5E"/>
    <w:rsid w:val="00C13FAF"/>
    <w:rsid w:val="00C1445B"/>
    <w:rsid w:val="00C14D55"/>
    <w:rsid w:val="00C14F71"/>
    <w:rsid w:val="00C1504E"/>
    <w:rsid w:val="00C1515E"/>
    <w:rsid w:val="00C1625C"/>
    <w:rsid w:val="00C16ABB"/>
    <w:rsid w:val="00C16E5B"/>
    <w:rsid w:val="00C17AA0"/>
    <w:rsid w:val="00C20946"/>
    <w:rsid w:val="00C20D06"/>
    <w:rsid w:val="00C212FD"/>
    <w:rsid w:val="00C214DB"/>
    <w:rsid w:val="00C21682"/>
    <w:rsid w:val="00C21A02"/>
    <w:rsid w:val="00C22196"/>
    <w:rsid w:val="00C22848"/>
    <w:rsid w:val="00C229C6"/>
    <w:rsid w:val="00C22E91"/>
    <w:rsid w:val="00C22F3B"/>
    <w:rsid w:val="00C2336D"/>
    <w:rsid w:val="00C235C4"/>
    <w:rsid w:val="00C2488D"/>
    <w:rsid w:val="00C249F3"/>
    <w:rsid w:val="00C24D1F"/>
    <w:rsid w:val="00C24FBD"/>
    <w:rsid w:val="00C2520C"/>
    <w:rsid w:val="00C25798"/>
    <w:rsid w:val="00C25863"/>
    <w:rsid w:val="00C26B68"/>
    <w:rsid w:val="00C306F5"/>
    <w:rsid w:val="00C30F62"/>
    <w:rsid w:val="00C326A1"/>
    <w:rsid w:val="00C32A81"/>
    <w:rsid w:val="00C32FF1"/>
    <w:rsid w:val="00C33103"/>
    <w:rsid w:val="00C33E16"/>
    <w:rsid w:val="00C33E7A"/>
    <w:rsid w:val="00C33F3B"/>
    <w:rsid w:val="00C34717"/>
    <w:rsid w:val="00C34F80"/>
    <w:rsid w:val="00C35D4C"/>
    <w:rsid w:val="00C367E4"/>
    <w:rsid w:val="00C377ED"/>
    <w:rsid w:val="00C40673"/>
    <w:rsid w:val="00C40881"/>
    <w:rsid w:val="00C40A55"/>
    <w:rsid w:val="00C40CED"/>
    <w:rsid w:val="00C40E27"/>
    <w:rsid w:val="00C40E7B"/>
    <w:rsid w:val="00C4101F"/>
    <w:rsid w:val="00C41C7C"/>
    <w:rsid w:val="00C41F5D"/>
    <w:rsid w:val="00C41F92"/>
    <w:rsid w:val="00C4234C"/>
    <w:rsid w:val="00C428E8"/>
    <w:rsid w:val="00C434B3"/>
    <w:rsid w:val="00C43A1F"/>
    <w:rsid w:val="00C43DB6"/>
    <w:rsid w:val="00C43EE9"/>
    <w:rsid w:val="00C43F95"/>
    <w:rsid w:val="00C442CA"/>
    <w:rsid w:val="00C4434C"/>
    <w:rsid w:val="00C44798"/>
    <w:rsid w:val="00C45000"/>
    <w:rsid w:val="00C457C0"/>
    <w:rsid w:val="00C458A5"/>
    <w:rsid w:val="00C46629"/>
    <w:rsid w:val="00C474AD"/>
    <w:rsid w:val="00C475D7"/>
    <w:rsid w:val="00C47CFB"/>
    <w:rsid w:val="00C5009B"/>
    <w:rsid w:val="00C500D9"/>
    <w:rsid w:val="00C50D62"/>
    <w:rsid w:val="00C51906"/>
    <w:rsid w:val="00C51DA2"/>
    <w:rsid w:val="00C527D5"/>
    <w:rsid w:val="00C5354B"/>
    <w:rsid w:val="00C53965"/>
    <w:rsid w:val="00C54464"/>
    <w:rsid w:val="00C5471B"/>
    <w:rsid w:val="00C547E4"/>
    <w:rsid w:val="00C54C79"/>
    <w:rsid w:val="00C54C7D"/>
    <w:rsid w:val="00C54E4F"/>
    <w:rsid w:val="00C54FB5"/>
    <w:rsid w:val="00C551DD"/>
    <w:rsid w:val="00C55473"/>
    <w:rsid w:val="00C55745"/>
    <w:rsid w:val="00C559E1"/>
    <w:rsid w:val="00C56156"/>
    <w:rsid w:val="00C56CE5"/>
    <w:rsid w:val="00C56FDA"/>
    <w:rsid w:val="00C601B7"/>
    <w:rsid w:val="00C6030E"/>
    <w:rsid w:val="00C6112D"/>
    <w:rsid w:val="00C612E4"/>
    <w:rsid w:val="00C61A77"/>
    <w:rsid w:val="00C61AAA"/>
    <w:rsid w:val="00C6248E"/>
    <w:rsid w:val="00C62C36"/>
    <w:rsid w:val="00C63F0D"/>
    <w:rsid w:val="00C64910"/>
    <w:rsid w:val="00C64CEA"/>
    <w:rsid w:val="00C64D3B"/>
    <w:rsid w:val="00C6557D"/>
    <w:rsid w:val="00C65824"/>
    <w:rsid w:val="00C65AC3"/>
    <w:rsid w:val="00C65C94"/>
    <w:rsid w:val="00C66104"/>
    <w:rsid w:val="00C6610C"/>
    <w:rsid w:val="00C66900"/>
    <w:rsid w:val="00C669AD"/>
    <w:rsid w:val="00C67215"/>
    <w:rsid w:val="00C67235"/>
    <w:rsid w:val="00C672D0"/>
    <w:rsid w:val="00C67310"/>
    <w:rsid w:val="00C676ED"/>
    <w:rsid w:val="00C70576"/>
    <w:rsid w:val="00C70C96"/>
    <w:rsid w:val="00C712D1"/>
    <w:rsid w:val="00C7150D"/>
    <w:rsid w:val="00C71C2E"/>
    <w:rsid w:val="00C72109"/>
    <w:rsid w:val="00C72409"/>
    <w:rsid w:val="00C72645"/>
    <w:rsid w:val="00C733B0"/>
    <w:rsid w:val="00C738F3"/>
    <w:rsid w:val="00C74102"/>
    <w:rsid w:val="00C746AA"/>
    <w:rsid w:val="00C74E9C"/>
    <w:rsid w:val="00C752AD"/>
    <w:rsid w:val="00C7640E"/>
    <w:rsid w:val="00C800C8"/>
    <w:rsid w:val="00C804F1"/>
    <w:rsid w:val="00C80727"/>
    <w:rsid w:val="00C8077E"/>
    <w:rsid w:val="00C8093A"/>
    <w:rsid w:val="00C81746"/>
    <w:rsid w:val="00C81829"/>
    <w:rsid w:val="00C81B2A"/>
    <w:rsid w:val="00C82E9D"/>
    <w:rsid w:val="00C836D7"/>
    <w:rsid w:val="00C84226"/>
    <w:rsid w:val="00C8453A"/>
    <w:rsid w:val="00C84982"/>
    <w:rsid w:val="00C84AED"/>
    <w:rsid w:val="00C84BE3"/>
    <w:rsid w:val="00C850C6"/>
    <w:rsid w:val="00C85202"/>
    <w:rsid w:val="00C8660C"/>
    <w:rsid w:val="00C873CA"/>
    <w:rsid w:val="00C900F3"/>
    <w:rsid w:val="00C90428"/>
    <w:rsid w:val="00C909C6"/>
    <w:rsid w:val="00C915D5"/>
    <w:rsid w:val="00C9179B"/>
    <w:rsid w:val="00C9275E"/>
    <w:rsid w:val="00C92785"/>
    <w:rsid w:val="00C92A3B"/>
    <w:rsid w:val="00C92CF7"/>
    <w:rsid w:val="00C9329E"/>
    <w:rsid w:val="00C93CEB"/>
    <w:rsid w:val="00C93D4C"/>
    <w:rsid w:val="00C94134"/>
    <w:rsid w:val="00C94325"/>
    <w:rsid w:val="00C954FB"/>
    <w:rsid w:val="00C955F2"/>
    <w:rsid w:val="00C95E19"/>
    <w:rsid w:val="00C960D4"/>
    <w:rsid w:val="00C9687A"/>
    <w:rsid w:val="00C97069"/>
    <w:rsid w:val="00C9736A"/>
    <w:rsid w:val="00C97793"/>
    <w:rsid w:val="00C97CCB"/>
    <w:rsid w:val="00CA0B37"/>
    <w:rsid w:val="00CA11B2"/>
    <w:rsid w:val="00CA14EA"/>
    <w:rsid w:val="00CA20D8"/>
    <w:rsid w:val="00CA24E4"/>
    <w:rsid w:val="00CA2AB1"/>
    <w:rsid w:val="00CA342E"/>
    <w:rsid w:val="00CA3661"/>
    <w:rsid w:val="00CA3CE1"/>
    <w:rsid w:val="00CA40AE"/>
    <w:rsid w:val="00CA4160"/>
    <w:rsid w:val="00CA52A1"/>
    <w:rsid w:val="00CA55CD"/>
    <w:rsid w:val="00CA5CD1"/>
    <w:rsid w:val="00CA607D"/>
    <w:rsid w:val="00CA6505"/>
    <w:rsid w:val="00CA6A78"/>
    <w:rsid w:val="00CA786E"/>
    <w:rsid w:val="00CB0401"/>
    <w:rsid w:val="00CB0B88"/>
    <w:rsid w:val="00CB0CF7"/>
    <w:rsid w:val="00CB1CD5"/>
    <w:rsid w:val="00CB2AA6"/>
    <w:rsid w:val="00CB2CE7"/>
    <w:rsid w:val="00CB37DD"/>
    <w:rsid w:val="00CB41A1"/>
    <w:rsid w:val="00CB4459"/>
    <w:rsid w:val="00CB59EF"/>
    <w:rsid w:val="00CB66B6"/>
    <w:rsid w:val="00CB6A81"/>
    <w:rsid w:val="00CB719B"/>
    <w:rsid w:val="00CB7264"/>
    <w:rsid w:val="00CB73BC"/>
    <w:rsid w:val="00CB75F2"/>
    <w:rsid w:val="00CB7AF9"/>
    <w:rsid w:val="00CB7F79"/>
    <w:rsid w:val="00CC1659"/>
    <w:rsid w:val="00CC1C32"/>
    <w:rsid w:val="00CC26D6"/>
    <w:rsid w:val="00CC2803"/>
    <w:rsid w:val="00CC37F8"/>
    <w:rsid w:val="00CC38A2"/>
    <w:rsid w:val="00CC3BCF"/>
    <w:rsid w:val="00CC46AE"/>
    <w:rsid w:val="00CC4914"/>
    <w:rsid w:val="00CC4ABD"/>
    <w:rsid w:val="00CC5162"/>
    <w:rsid w:val="00CC569F"/>
    <w:rsid w:val="00CC5F79"/>
    <w:rsid w:val="00CC605D"/>
    <w:rsid w:val="00CC60C4"/>
    <w:rsid w:val="00CC665E"/>
    <w:rsid w:val="00CC7625"/>
    <w:rsid w:val="00CC7985"/>
    <w:rsid w:val="00CD03D7"/>
    <w:rsid w:val="00CD052A"/>
    <w:rsid w:val="00CD094F"/>
    <w:rsid w:val="00CD0EE5"/>
    <w:rsid w:val="00CD0FBA"/>
    <w:rsid w:val="00CD100E"/>
    <w:rsid w:val="00CD1392"/>
    <w:rsid w:val="00CD213E"/>
    <w:rsid w:val="00CD21B3"/>
    <w:rsid w:val="00CD28FC"/>
    <w:rsid w:val="00CD2B8B"/>
    <w:rsid w:val="00CD2FAD"/>
    <w:rsid w:val="00CD395E"/>
    <w:rsid w:val="00CD3993"/>
    <w:rsid w:val="00CD3E7A"/>
    <w:rsid w:val="00CD4661"/>
    <w:rsid w:val="00CD5713"/>
    <w:rsid w:val="00CD5B08"/>
    <w:rsid w:val="00CD5BEB"/>
    <w:rsid w:val="00CD5FD3"/>
    <w:rsid w:val="00CD62D9"/>
    <w:rsid w:val="00CD725F"/>
    <w:rsid w:val="00CE02D0"/>
    <w:rsid w:val="00CE03B3"/>
    <w:rsid w:val="00CE187B"/>
    <w:rsid w:val="00CE3231"/>
    <w:rsid w:val="00CE3CF9"/>
    <w:rsid w:val="00CE3F4A"/>
    <w:rsid w:val="00CE47D3"/>
    <w:rsid w:val="00CE4A42"/>
    <w:rsid w:val="00CE4BF5"/>
    <w:rsid w:val="00CE5205"/>
    <w:rsid w:val="00CE5482"/>
    <w:rsid w:val="00CE59C6"/>
    <w:rsid w:val="00CE5EF8"/>
    <w:rsid w:val="00CE66FE"/>
    <w:rsid w:val="00CE7047"/>
    <w:rsid w:val="00CE7383"/>
    <w:rsid w:val="00CE7675"/>
    <w:rsid w:val="00CE77E3"/>
    <w:rsid w:val="00CE7DB3"/>
    <w:rsid w:val="00CF0318"/>
    <w:rsid w:val="00CF04DA"/>
    <w:rsid w:val="00CF08BE"/>
    <w:rsid w:val="00CF0997"/>
    <w:rsid w:val="00CF0F87"/>
    <w:rsid w:val="00CF24EA"/>
    <w:rsid w:val="00CF4405"/>
    <w:rsid w:val="00CF4E84"/>
    <w:rsid w:val="00CF506A"/>
    <w:rsid w:val="00CF5894"/>
    <w:rsid w:val="00CF5B3C"/>
    <w:rsid w:val="00CF65C7"/>
    <w:rsid w:val="00CF68A7"/>
    <w:rsid w:val="00CF73F8"/>
    <w:rsid w:val="00CF745A"/>
    <w:rsid w:val="00CF760A"/>
    <w:rsid w:val="00D0001D"/>
    <w:rsid w:val="00D00029"/>
    <w:rsid w:val="00D00A92"/>
    <w:rsid w:val="00D00D4C"/>
    <w:rsid w:val="00D00E6A"/>
    <w:rsid w:val="00D02598"/>
    <w:rsid w:val="00D02835"/>
    <w:rsid w:val="00D035FF"/>
    <w:rsid w:val="00D03A37"/>
    <w:rsid w:val="00D03F10"/>
    <w:rsid w:val="00D04435"/>
    <w:rsid w:val="00D04C63"/>
    <w:rsid w:val="00D055D1"/>
    <w:rsid w:val="00D06533"/>
    <w:rsid w:val="00D066C3"/>
    <w:rsid w:val="00D069E5"/>
    <w:rsid w:val="00D07218"/>
    <w:rsid w:val="00D07942"/>
    <w:rsid w:val="00D109F1"/>
    <w:rsid w:val="00D1280A"/>
    <w:rsid w:val="00D135A2"/>
    <w:rsid w:val="00D14310"/>
    <w:rsid w:val="00D14496"/>
    <w:rsid w:val="00D14DED"/>
    <w:rsid w:val="00D166E0"/>
    <w:rsid w:val="00D1782A"/>
    <w:rsid w:val="00D205B5"/>
    <w:rsid w:val="00D230E4"/>
    <w:rsid w:val="00D23CDF"/>
    <w:rsid w:val="00D2435A"/>
    <w:rsid w:val="00D24607"/>
    <w:rsid w:val="00D246C7"/>
    <w:rsid w:val="00D24814"/>
    <w:rsid w:val="00D2537B"/>
    <w:rsid w:val="00D261DE"/>
    <w:rsid w:val="00D264BC"/>
    <w:rsid w:val="00D26618"/>
    <w:rsid w:val="00D26768"/>
    <w:rsid w:val="00D269CA"/>
    <w:rsid w:val="00D269E8"/>
    <w:rsid w:val="00D271B1"/>
    <w:rsid w:val="00D271DE"/>
    <w:rsid w:val="00D277FE"/>
    <w:rsid w:val="00D2797D"/>
    <w:rsid w:val="00D27B0B"/>
    <w:rsid w:val="00D27ED8"/>
    <w:rsid w:val="00D31758"/>
    <w:rsid w:val="00D31BCF"/>
    <w:rsid w:val="00D32080"/>
    <w:rsid w:val="00D324DF"/>
    <w:rsid w:val="00D32C3A"/>
    <w:rsid w:val="00D33639"/>
    <w:rsid w:val="00D33C0A"/>
    <w:rsid w:val="00D34112"/>
    <w:rsid w:val="00D34775"/>
    <w:rsid w:val="00D34ADB"/>
    <w:rsid w:val="00D34BE7"/>
    <w:rsid w:val="00D34C8D"/>
    <w:rsid w:val="00D35B88"/>
    <w:rsid w:val="00D36808"/>
    <w:rsid w:val="00D37841"/>
    <w:rsid w:val="00D40223"/>
    <w:rsid w:val="00D4048A"/>
    <w:rsid w:val="00D40864"/>
    <w:rsid w:val="00D40AAF"/>
    <w:rsid w:val="00D41105"/>
    <w:rsid w:val="00D41CB8"/>
    <w:rsid w:val="00D41FEF"/>
    <w:rsid w:val="00D42120"/>
    <w:rsid w:val="00D42C1E"/>
    <w:rsid w:val="00D42FF2"/>
    <w:rsid w:val="00D43381"/>
    <w:rsid w:val="00D437FD"/>
    <w:rsid w:val="00D43AD4"/>
    <w:rsid w:val="00D43C6D"/>
    <w:rsid w:val="00D44EDC"/>
    <w:rsid w:val="00D4518B"/>
    <w:rsid w:val="00D4531A"/>
    <w:rsid w:val="00D45733"/>
    <w:rsid w:val="00D45880"/>
    <w:rsid w:val="00D465E8"/>
    <w:rsid w:val="00D4685C"/>
    <w:rsid w:val="00D46B0A"/>
    <w:rsid w:val="00D46E19"/>
    <w:rsid w:val="00D477CA"/>
    <w:rsid w:val="00D50D8C"/>
    <w:rsid w:val="00D51AAF"/>
    <w:rsid w:val="00D51C28"/>
    <w:rsid w:val="00D527ED"/>
    <w:rsid w:val="00D5286B"/>
    <w:rsid w:val="00D52BAB"/>
    <w:rsid w:val="00D52F0F"/>
    <w:rsid w:val="00D549E2"/>
    <w:rsid w:val="00D557B1"/>
    <w:rsid w:val="00D55E42"/>
    <w:rsid w:val="00D55F75"/>
    <w:rsid w:val="00D56792"/>
    <w:rsid w:val="00D56883"/>
    <w:rsid w:val="00D57BC1"/>
    <w:rsid w:val="00D60389"/>
    <w:rsid w:val="00D60590"/>
    <w:rsid w:val="00D60877"/>
    <w:rsid w:val="00D60A2A"/>
    <w:rsid w:val="00D618C2"/>
    <w:rsid w:val="00D6227A"/>
    <w:rsid w:val="00D626B8"/>
    <w:rsid w:val="00D62F8E"/>
    <w:rsid w:val="00D6338A"/>
    <w:rsid w:val="00D63390"/>
    <w:rsid w:val="00D63EC0"/>
    <w:rsid w:val="00D65464"/>
    <w:rsid w:val="00D65723"/>
    <w:rsid w:val="00D658E4"/>
    <w:rsid w:val="00D6698C"/>
    <w:rsid w:val="00D672EF"/>
    <w:rsid w:val="00D672FA"/>
    <w:rsid w:val="00D70015"/>
    <w:rsid w:val="00D702C3"/>
    <w:rsid w:val="00D70458"/>
    <w:rsid w:val="00D70F64"/>
    <w:rsid w:val="00D7152D"/>
    <w:rsid w:val="00D7181C"/>
    <w:rsid w:val="00D71BD7"/>
    <w:rsid w:val="00D72D8B"/>
    <w:rsid w:val="00D73758"/>
    <w:rsid w:val="00D73830"/>
    <w:rsid w:val="00D748AD"/>
    <w:rsid w:val="00D74A1F"/>
    <w:rsid w:val="00D74C14"/>
    <w:rsid w:val="00D75EAD"/>
    <w:rsid w:val="00D76AAD"/>
    <w:rsid w:val="00D77F61"/>
    <w:rsid w:val="00D8001E"/>
    <w:rsid w:val="00D801C3"/>
    <w:rsid w:val="00D80642"/>
    <w:rsid w:val="00D807D3"/>
    <w:rsid w:val="00D80D43"/>
    <w:rsid w:val="00D82E3F"/>
    <w:rsid w:val="00D82EAE"/>
    <w:rsid w:val="00D8307A"/>
    <w:rsid w:val="00D835B0"/>
    <w:rsid w:val="00D83DB2"/>
    <w:rsid w:val="00D8553A"/>
    <w:rsid w:val="00D85A38"/>
    <w:rsid w:val="00D85C88"/>
    <w:rsid w:val="00D85D4A"/>
    <w:rsid w:val="00D86147"/>
    <w:rsid w:val="00D864DF"/>
    <w:rsid w:val="00D8659F"/>
    <w:rsid w:val="00D866E1"/>
    <w:rsid w:val="00D86B17"/>
    <w:rsid w:val="00D86B87"/>
    <w:rsid w:val="00D86D15"/>
    <w:rsid w:val="00D871A0"/>
    <w:rsid w:val="00D871D8"/>
    <w:rsid w:val="00D87EBC"/>
    <w:rsid w:val="00D903F3"/>
    <w:rsid w:val="00D907B1"/>
    <w:rsid w:val="00D90C3E"/>
    <w:rsid w:val="00D91844"/>
    <w:rsid w:val="00D91F7C"/>
    <w:rsid w:val="00D9254C"/>
    <w:rsid w:val="00D925E6"/>
    <w:rsid w:val="00D92712"/>
    <w:rsid w:val="00D9291D"/>
    <w:rsid w:val="00D9293B"/>
    <w:rsid w:val="00D93028"/>
    <w:rsid w:val="00D93371"/>
    <w:rsid w:val="00D93734"/>
    <w:rsid w:val="00D955E0"/>
    <w:rsid w:val="00D95618"/>
    <w:rsid w:val="00D9563C"/>
    <w:rsid w:val="00D95A23"/>
    <w:rsid w:val="00D95B70"/>
    <w:rsid w:val="00D95EB0"/>
    <w:rsid w:val="00D961C1"/>
    <w:rsid w:val="00D96C8C"/>
    <w:rsid w:val="00D96D09"/>
    <w:rsid w:val="00D9744C"/>
    <w:rsid w:val="00D9779B"/>
    <w:rsid w:val="00D97B4F"/>
    <w:rsid w:val="00DA04CC"/>
    <w:rsid w:val="00DA1142"/>
    <w:rsid w:val="00DA12B8"/>
    <w:rsid w:val="00DA1C2E"/>
    <w:rsid w:val="00DA24C4"/>
    <w:rsid w:val="00DA2672"/>
    <w:rsid w:val="00DA278B"/>
    <w:rsid w:val="00DA27B7"/>
    <w:rsid w:val="00DA29FD"/>
    <w:rsid w:val="00DA2BEE"/>
    <w:rsid w:val="00DA2EBF"/>
    <w:rsid w:val="00DA35AC"/>
    <w:rsid w:val="00DA367A"/>
    <w:rsid w:val="00DA3B51"/>
    <w:rsid w:val="00DA47BE"/>
    <w:rsid w:val="00DA48A5"/>
    <w:rsid w:val="00DA4EF2"/>
    <w:rsid w:val="00DA51BE"/>
    <w:rsid w:val="00DA5430"/>
    <w:rsid w:val="00DA68DA"/>
    <w:rsid w:val="00DA6AA8"/>
    <w:rsid w:val="00DA7D4B"/>
    <w:rsid w:val="00DB033E"/>
    <w:rsid w:val="00DB03F4"/>
    <w:rsid w:val="00DB0709"/>
    <w:rsid w:val="00DB0B15"/>
    <w:rsid w:val="00DB0F6A"/>
    <w:rsid w:val="00DB230C"/>
    <w:rsid w:val="00DB28DF"/>
    <w:rsid w:val="00DB3073"/>
    <w:rsid w:val="00DB3943"/>
    <w:rsid w:val="00DB41AB"/>
    <w:rsid w:val="00DB439A"/>
    <w:rsid w:val="00DB52E0"/>
    <w:rsid w:val="00DB5B30"/>
    <w:rsid w:val="00DB64C3"/>
    <w:rsid w:val="00DB751A"/>
    <w:rsid w:val="00DB7C29"/>
    <w:rsid w:val="00DC099A"/>
    <w:rsid w:val="00DC0AF6"/>
    <w:rsid w:val="00DC0F50"/>
    <w:rsid w:val="00DC0FEF"/>
    <w:rsid w:val="00DC10EE"/>
    <w:rsid w:val="00DC12BA"/>
    <w:rsid w:val="00DC20EE"/>
    <w:rsid w:val="00DC214A"/>
    <w:rsid w:val="00DC2807"/>
    <w:rsid w:val="00DC3944"/>
    <w:rsid w:val="00DC3BA8"/>
    <w:rsid w:val="00DC4C02"/>
    <w:rsid w:val="00DC4DEA"/>
    <w:rsid w:val="00DC64C2"/>
    <w:rsid w:val="00DC6943"/>
    <w:rsid w:val="00DC7A8B"/>
    <w:rsid w:val="00DD053B"/>
    <w:rsid w:val="00DD08CE"/>
    <w:rsid w:val="00DD0A3C"/>
    <w:rsid w:val="00DD151E"/>
    <w:rsid w:val="00DD1BD0"/>
    <w:rsid w:val="00DD24B3"/>
    <w:rsid w:val="00DD2D48"/>
    <w:rsid w:val="00DD3D50"/>
    <w:rsid w:val="00DD4EB7"/>
    <w:rsid w:val="00DD5151"/>
    <w:rsid w:val="00DD5222"/>
    <w:rsid w:val="00DD58D2"/>
    <w:rsid w:val="00DD5DAF"/>
    <w:rsid w:val="00DD5E0E"/>
    <w:rsid w:val="00DD62C4"/>
    <w:rsid w:val="00DD6526"/>
    <w:rsid w:val="00DD6AFE"/>
    <w:rsid w:val="00DD6E9A"/>
    <w:rsid w:val="00DD70B3"/>
    <w:rsid w:val="00DD71DA"/>
    <w:rsid w:val="00DD7A9F"/>
    <w:rsid w:val="00DE1434"/>
    <w:rsid w:val="00DE15D3"/>
    <w:rsid w:val="00DE175E"/>
    <w:rsid w:val="00DE19B8"/>
    <w:rsid w:val="00DE19C9"/>
    <w:rsid w:val="00DE225F"/>
    <w:rsid w:val="00DE2E2C"/>
    <w:rsid w:val="00DE3174"/>
    <w:rsid w:val="00DE42AC"/>
    <w:rsid w:val="00DE4479"/>
    <w:rsid w:val="00DE56F7"/>
    <w:rsid w:val="00DE5AA1"/>
    <w:rsid w:val="00DE5BC4"/>
    <w:rsid w:val="00DE5BD0"/>
    <w:rsid w:val="00DE6D0C"/>
    <w:rsid w:val="00DE713D"/>
    <w:rsid w:val="00DE7897"/>
    <w:rsid w:val="00DE7C68"/>
    <w:rsid w:val="00DF0074"/>
    <w:rsid w:val="00DF03CC"/>
    <w:rsid w:val="00DF03FC"/>
    <w:rsid w:val="00DF0974"/>
    <w:rsid w:val="00DF0BBF"/>
    <w:rsid w:val="00DF0F61"/>
    <w:rsid w:val="00DF1592"/>
    <w:rsid w:val="00DF19A6"/>
    <w:rsid w:val="00DF1C6A"/>
    <w:rsid w:val="00DF21D8"/>
    <w:rsid w:val="00DF21E3"/>
    <w:rsid w:val="00DF221A"/>
    <w:rsid w:val="00DF226D"/>
    <w:rsid w:val="00DF25F2"/>
    <w:rsid w:val="00DF3D40"/>
    <w:rsid w:val="00DF447A"/>
    <w:rsid w:val="00DF4772"/>
    <w:rsid w:val="00DF5854"/>
    <w:rsid w:val="00DF5B7A"/>
    <w:rsid w:val="00DF5DA7"/>
    <w:rsid w:val="00DF5F1F"/>
    <w:rsid w:val="00DF6398"/>
    <w:rsid w:val="00DF66EF"/>
    <w:rsid w:val="00DF6753"/>
    <w:rsid w:val="00DF6B2B"/>
    <w:rsid w:val="00DF6D0E"/>
    <w:rsid w:val="00DF7251"/>
    <w:rsid w:val="00DF78BC"/>
    <w:rsid w:val="00E00387"/>
    <w:rsid w:val="00E00515"/>
    <w:rsid w:val="00E00847"/>
    <w:rsid w:val="00E00A57"/>
    <w:rsid w:val="00E00D6C"/>
    <w:rsid w:val="00E034E3"/>
    <w:rsid w:val="00E03763"/>
    <w:rsid w:val="00E0444A"/>
    <w:rsid w:val="00E04BA7"/>
    <w:rsid w:val="00E063A2"/>
    <w:rsid w:val="00E06809"/>
    <w:rsid w:val="00E0680D"/>
    <w:rsid w:val="00E06A35"/>
    <w:rsid w:val="00E07DDE"/>
    <w:rsid w:val="00E10310"/>
    <w:rsid w:val="00E10867"/>
    <w:rsid w:val="00E1127F"/>
    <w:rsid w:val="00E11FFD"/>
    <w:rsid w:val="00E130FC"/>
    <w:rsid w:val="00E13208"/>
    <w:rsid w:val="00E13610"/>
    <w:rsid w:val="00E13D46"/>
    <w:rsid w:val="00E13FC9"/>
    <w:rsid w:val="00E14D3E"/>
    <w:rsid w:val="00E150CB"/>
    <w:rsid w:val="00E160BA"/>
    <w:rsid w:val="00E164CD"/>
    <w:rsid w:val="00E17B38"/>
    <w:rsid w:val="00E2086E"/>
    <w:rsid w:val="00E2211D"/>
    <w:rsid w:val="00E2244B"/>
    <w:rsid w:val="00E22540"/>
    <w:rsid w:val="00E22954"/>
    <w:rsid w:val="00E22B60"/>
    <w:rsid w:val="00E22DAD"/>
    <w:rsid w:val="00E22EF3"/>
    <w:rsid w:val="00E2353E"/>
    <w:rsid w:val="00E23BBF"/>
    <w:rsid w:val="00E23D7B"/>
    <w:rsid w:val="00E24B9E"/>
    <w:rsid w:val="00E24CEF"/>
    <w:rsid w:val="00E24CF3"/>
    <w:rsid w:val="00E257A3"/>
    <w:rsid w:val="00E25BE0"/>
    <w:rsid w:val="00E3231E"/>
    <w:rsid w:val="00E324AA"/>
    <w:rsid w:val="00E325AB"/>
    <w:rsid w:val="00E339FB"/>
    <w:rsid w:val="00E33CE2"/>
    <w:rsid w:val="00E33FF8"/>
    <w:rsid w:val="00E341E4"/>
    <w:rsid w:val="00E34618"/>
    <w:rsid w:val="00E34ED5"/>
    <w:rsid w:val="00E34F63"/>
    <w:rsid w:val="00E35279"/>
    <w:rsid w:val="00E376A3"/>
    <w:rsid w:val="00E4035C"/>
    <w:rsid w:val="00E40820"/>
    <w:rsid w:val="00E4091A"/>
    <w:rsid w:val="00E4100A"/>
    <w:rsid w:val="00E41863"/>
    <w:rsid w:val="00E4188E"/>
    <w:rsid w:val="00E41C69"/>
    <w:rsid w:val="00E4206D"/>
    <w:rsid w:val="00E4210B"/>
    <w:rsid w:val="00E423EC"/>
    <w:rsid w:val="00E43728"/>
    <w:rsid w:val="00E438B4"/>
    <w:rsid w:val="00E43C83"/>
    <w:rsid w:val="00E43E97"/>
    <w:rsid w:val="00E43F8E"/>
    <w:rsid w:val="00E453CE"/>
    <w:rsid w:val="00E45504"/>
    <w:rsid w:val="00E456EB"/>
    <w:rsid w:val="00E45996"/>
    <w:rsid w:val="00E45F6E"/>
    <w:rsid w:val="00E47E32"/>
    <w:rsid w:val="00E501E1"/>
    <w:rsid w:val="00E50A52"/>
    <w:rsid w:val="00E511B8"/>
    <w:rsid w:val="00E52F60"/>
    <w:rsid w:val="00E53524"/>
    <w:rsid w:val="00E53876"/>
    <w:rsid w:val="00E54436"/>
    <w:rsid w:val="00E54EFB"/>
    <w:rsid w:val="00E54FA3"/>
    <w:rsid w:val="00E55094"/>
    <w:rsid w:val="00E56D55"/>
    <w:rsid w:val="00E611D3"/>
    <w:rsid w:val="00E612D9"/>
    <w:rsid w:val="00E618DC"/>
    <w:rsid w:val="00E6190A"/>
    <w:rsid w:val="00E61946"/>
    <w:rsid w:val="00E6201E"/>
    <w:rsid w:val="00E62ACF"/>
    <w:rsid w:val="00E62CFF"/>
    <w:rsid w:val="00E630D2"/>
    <w:rsid w:val="00E631A2"/>
    <w:rsid w:val="00E63B60"/>
    <w:rsid w:val="00E64CFD"/>
    <w:rsid w:val="00E65264"/>
    <w:rsid w:val="00E6576B"/>
    <w:rsid w:val="00E66D88"/>
    <w:rsid w:val="00E67543"/>
    <w:rsid w:val="00E675C6"/>
    <w:rsid w:val="00E67664"/>
    <w:rsid w:val="00E67EDD"/>
    <w:rsid w:val="00E705B7"/>
    <w:rsid w:val="00E70966"/>
    <w:rsid w:val="00E70CE1"/>
    <w:rsid w:val="00E7126C"/>
    <w:rsid w:val="00E72516"/>
    <w:rsid w:val="00E733C4"/>
    <w:rsid w:val="00E735B7"/>
    <w:rsid w:val="00E74BD2"/>
    <w:rsid w:val="00E75187"/>
    <w:rsid w:val="00E7693C"/>
    <w:rsid w:val="00E7746E"/>
    <w:rsid w:val="00E77CB0"/>
    <w:rsid w:val="00E804FB"/>
    <w:rsid w:val="00E80FCA"/>
    <w:rsid w:val="00E811DE"/>
    <w:rsid w:val="00E821AD"/>
    <w:rsid w:val="00E821D4"/>
    <w:rsid w:val="00E82C9D"/>
    <w:rsid w:val="00E83077"/>
    <w:rsid w:val="00E833CE"/>
    <w:rsid w:val="00E8381A"/>
    <w:rsid w:val="00E83AC3"/>
    <w:rsid w:val="00E83CF2"/>
    <w:rsid w:val="00E83D74"/>
    <w:rsid w:val="00E83E57"/>
    <w:rsid w:val="00E84511"/>
    <w:rsid w:val="00E84995"/>
    <w:rsid w:val="00E8514E"/>
    <w:rsid w:val="00E85A51"/>
    <w:rsid w:val="00E86837"/>
    <w:rsid w:val="00E86D45"/>
    <w:rsid w:val="00E874CD"/>
    <w:rsid w:val="00E876FF"/>
    <w:rsid w:val="00E901D6"/>
    <w:rsid w:val="00E9099F"/>
    <w:rsid w:val="00E913CD"/>
    <w:rsid w:val="00E9147A"/>
    <w:rsid w:val="00E91D25"/>
    <w:rsid w:val="00E921C0"/>
    <w:rsid w:val="00E922B1"/>
    <w:rsid w:val="00E9252B"/>
    <w:rsid w:val="00E933B8"/>
    <w:rsid w:val="00E936A7"/>
    <w:rsid w:val="00E937C7"/>
    <w:rsid w:val="00E937FE"/>
    <w:rsid w:val="00E939D1"/>
    <w:rsid w:val="00E93C26"/>
    <w:rsid w:val="00E95170"/>
    <w:rsid w:val="00E95527"/>
    <w:rsid w:val="00E958C2"/>
    <w:rsid w:val="00E95A8C"/>
    <w:rsid w:val="00E97162"/>
    <w:rsid w:val="00E97AB1"/>
    <w:rsid w:val="00E97E0B"/>
    <w:rsid w:val="00EA1A0E"/>
    <w:rsid w:val="00EA1D97"/>
    <w:rsid w:val="00EA25AF"/>
    <w:rsid w:val="00EA3045"/>
    <w:rsid w:val="00EA312B"/>
    <w:rsid w:val="00EA32FA"/>
    <w:rsid w:val="00EA372E"/>
    <w:rsid w:val="00EA40D6"/>
    <w:rsid w:val="00EA44B6"/>
    <w:rsid w:val="00EA4F85"/>
    <w:rsid w:val="00EA51A6"/>
    <w:rsid w:val="00EA5743"/>
    <w:rsid w:val="00EA5D7E"/>
    <w:rsid w:val="00EA60A5"/>
    <w:rsid w:val="00EA7015"/>
    <w:rsid w:val="00EA7554"/>
    <w:rsid w:val="00EA75AF"/>
    <w:rsid w:val="00EA7819"/>
    <w:rsid w:val="00EA7C8B"/>
    <w:rsid w:val="00EB0534"/>
    <w:rsid w:val="00EB05E0"/>
    <w:rsid w:val="00EB12B7"/>
    <w:rsid w:val="00EB1330"/>
    <w:rsid w:val="00EB19A4"/>
    <w:rsid w:val="00EB19CE"/>
    <w:rsid w:val="00EB2050"/>
    <w:rsid w:val="00EB26C1"/>
    <w:rsid w:val="00EB29D8"/>
    <w:rsid w:val="00EB29E5"/>
    <w:rsid w:val="00EB2EFB"/>
    <w:rsid w:val="00EB3108"/>
    <w:rsid w:val="00EB33C3"/>
    <w:rsid w:val="00EB377F"/>
    <w:rsid w:val="00EB43D1"/>
    <w:rsid w:val="00EB45F1"/>
    <w:rsid w:val="00EB4B6A"/>
    <w:rsid w:val="00EB504A"/>
    <w:rsid w:val="00EB5425"/>
    <w:rsid w:val="00EB549C"/>
    <w:rsid w:val="00EB54A6"/>
    <w:rsid w:val="00EB55C0"/>
    <w:rsid w:val="00EB5ADE"/>
    <w:rsid w:val="00EB6014"/>
    <w:rsid w:val="00EB60DA"/>
    <w:rsid w:val="00EB6E2C"/>
    <w:rsid w:val="00EB70E7"/>
    <w:rsid w:val="00EB79EA"/>
    <w:rsid w:val="00EC0349"/>
    <w:rsid w:val="00EC0B5E"/>
    <w:rsid w:val="00EC113E"/>
    <w:rsid w:val="00EC2A77"/>
    <w:rsid w:val="00EC378E"/>
    <w:rsid w:val="00EC4517"/>
    <w:rsid w:val="00EC47C6"/>
    <w:rsid w:val="00EC4D4C"/>
    <w:rsid w:val="00EC5BD1"/>
    <w:rsid w:val="00EC6E1F"/>
    <w:rsid w:val="00EC715D"/>
    <w:rsid w:val="00EC71F7"/>
    <w:rsid w:val="00EC765A"/>
    <w:rsid w:val="00ED0075"/>
    <w:rsid w:val="00ED0789"/>
    <w:rsid w:val="00ED0B2A"/>
    <w:rsid w:val="00ED0FE9"/>
    <w:rsid w:val="00ED2366"/>
    <w:rsid w:val="00ED2665"/>
    <w:rsid w:val="00ED2C17"/>
    <w:rsid w:val="00ED33DC"/>
    <w:rsid w:val="00ED3F15"/>
    <w:rsid w:val="00ED4027"/>
    <w:rsid w:val="00ED4BDA"/>
    <w:rsid w:val="00ED5C53"/>
    <w:rsid w:val="00ED7019"/>
    <w:rsid w:val="00ED75FE"/>
    <w:rsid w:val="00EE0027"/>
    <w:rsid w:val="00EE01D3"/>
    <w:rsid w:val="00EE04AB"/>
    <w:rsid w:val="00EE24AA"/>
    <w:rsid w:val="00EE2B6A"/>
    <w:rsid w:val="00EE2C45"/>
    <w:rsid w:val="00EE3008"/>
    <w:rsid w:val="00EE3A60"/>
    <w:rsid w:val="00EE3D50"/>
    <w:rsid w:val="00EE4107"/>
    <w:rsid w:val="00EE42D5"/>
    <w:rsid w:val="00EE55A2"/>
    <w:rsid w:val="00EE6185"/>
    <w:rsid w:val="00EE7DCD"/>
    <w:rsid w:val="00EF017D"/>
    <w:rsid w:val="00EF070F"/>
    <w:rsid w:val="00EF082D"/>
    <w:rsid w:val="00EF097C"/>
    <w:rsid w:val="00EF1540"/>
    <w:rsid w:val="00EF2463"/>
    <w:rsid w:val="00EF34CE"/>
    <w:rsid w:val="00EF3753"/>
    <w:rsid w:val="00EF47D0"/>
    <w:rsid w:val="00EF501E"/>
    <w:rsid w:val="00EF54EF"/>
    <w:rsid w:val="00EF6233"/>
    <w:rsid w:val="00EF654D"/>
    <w:rsid w:val="00EF69B3"/>
    <w:rsid w:val="00EF6E4C"/>
    <w:rsid w:val="00EF7EE3"/>
    <w:rsid w:val="00F0022B"/>
    <w:rsid w:val="00F00478"/>
    <w:rsid w:val="00F00C1F"/>
    <w:rsid w:val="00F00E09"/>
    <w:rsid w:val="00F00EE8"/>
    <w:rsid w:val="00F01858"/>
    <w:rsid w:val="00F01C61"/>
    <w:rsid w:val="00F02125"/>
    <w:rsid w:val="00F028D8"/>
    <w:rsid w:val="00F02F31"/>
    <w:rsid w:val="00F037AD"/>
    <w:rsid w:val="00F03A15"/>
    <w:rsid w:val="00F04161"/>
    <w:rsid w:val="00F045FC"/>
    <w:rsid w:val="00F04629"/>
    <w:rsid w:val="00F04913"/>
    <w:rsid w:val="00F04C1B"/>
    <w:rsid w:val="00F04DC8"/>
    <w:rsid w:val="00F0570D"/>
    <w:rsid w:val="00F057B1"/>
    <w:rsid w:val="00F05860"/>
    <w:rsid w:val="00F07907"/>
    <w:rsid w:val="00F079E9"/>
    <w:rsid w:val="00F10385"/>
    <w:rsid w:val="00F107AD"/>
    <w:rsid w:val="00F108DE"/>
    <w:rsid w:val="00F10A55"/>
    <w:rsid w:val="00F125CA"/>
    <w:rsid w:val="00F12814"/>
    <w:rsid w:val="00F12D53"/>
    <w:rsid w:val="00F12E9E"/>
    <w:rsid w:val="00F13B6B"/>
    <w:rsid w:val="00F1447F"/>
    <w:rsid w:val="00F146BD"/>
    <w:rsid w:val="00F14B5E"/>
    <w:rsid w:val="00F14BC8"/>
    <w:rsid w:val="00F153DA"/>
    <w:rsid w:val="00F16167"/>
    <w:rsid w:val="00F16826"/>
    <w:rsid w:val="00F17CAC"/>
    <w:rsid w:val="00F20B10"/>
    <w:rsid w:val="00F20F78"/>
    <w:rsid w:val="00F21719"/>
    <w:rsid w:val="00F2213B"/>
    <w:rsid w:val="00F224C7"/>
    <w:rsid w:val="00F231FB"/>
    <w:rsid w:val="00F23262"/>
    <w:rsid w:val="00F234EE"/>
    <w:rsid w:val="00F2428A"/>
    <w:rsid w:val="00F24801"/>
    <w:rsid w:val="00F24F4F"/>
    <w:rsid w:val="00F25239"/>
    <w:rsid w:val="00F258B6"/>
    <w:rsid w:val="00F25C5F"/>
    <w:rsid w:val="00F2653A"/>
    <w:rsid w:val="00F26985"/>
    <w:rsid w:val="00F269FE"/>
    <w:rsid w:val="00F30355"/>
    <w:rsid w:val="00F312D8"/>
    <w:rsid w:val="00F317BE"/>
    <w:rsid w:val="00F3181B"/>
    <w:rsid w:val="00F32370"/>
    <w:rsid w:val="00F323EA"/>
    <w:rsid w:val="00F32D94"/>
    <w:rsid w:val="00F33327"/>
    <w:rsid w:val="00F33D3B"/>
    <w:rsid w:val="00F34777"/>
    <w:rsid w:val="00F353E9"/>
    <w:rsid w:val="00F3657E"/>
    <w:rsid w:val="00F365F2"/>
    <w:rsid w:val="00F3799D"/>
    <w:rsid w:val="00F40313"/>
    <w:rsid w:val="00F4052E"/>
    <w:rsid w:val="00F405C2"/>
    <w:rsid w:val="00F405D2"/>
    <w:rsid w:val="00F40A4D"/>
    <w:rsid w:val="00F413DB"/>
    <w:rsid w:val="00F42231"/>
    <w:rsid w:val="00F44334"/>
    <w:rsid w:val="00F44A10"/>
    <w:rsid w:val="00F44A48"/>
    <w:rsid w:val="00F44B94"/>
    <w:rsid w:val="00F45124"/>
    <w:rsid w:val="00F4544A"/>
    <w:rsid w:val="00F45A00"/>
    <w:rsid w:val="00F4680A"/>
    <w:rsid w:val="00F50FE0"/>
    <w:rsid w:val="00F514D2"/>
    <w:rsid w:val="00F5176E"/>
    <w:rsid w:val="00F52D60"/>
    <w:rsid w:val="00F52F74"/>
    <w:rsid w:val="00F530F4"/>
    <w:rsid w:val="00F543BA"/>
    <w:rsid w:val="00F54B88"/>
    <w:rsid w:val="00F54C70"/>
    <w:rsid w:val="00F564D2"/>
    <w:rsid w:val="00F57D08"/>
    <w:rsid w:val="00F60070"/>
    <w:rsid w:val="00F603D1"/>
    <w:rsid w:val="00F60C15"/>
    <w:rsid w:val="00F60C25"/>
    <w:rsid w:val="00F61DB6"/>
    <w:rsid w:val="00F62536"/>
    <w:rsid w:val="00F633A5"/>
    <w:rsid w:val="00F63A70"/>
    <w:rsid w:val="00F64151"/>
    <w:rsid w:val="00F64A82"/>
    <w:rsid w:val="00F65401"/>
    <w:rsid w:val="00F65585"/>
    <w:rsid w:val="00F660CB"/>
    <w:rsid w:val="00F662B9"/>
    <w:rsid w:val="00F668EE"/>
    <w:rsid w:val="00F6696C"/>
    <w:rsid w:val="00F67D23"/>
    <w:rsid w:val="00F67F4A"/>
    <w:rsid w:val="00F7072F"/>
    <w:rsid w:val="00F72513"/>
    <w:rsid w:val="00F73001"/>
    <w:rsid w:val="00F751A4"/>
    <w:rsid w:val="00F7548B"/>
    <w:rsid w:val="00F75E51"/>
    <w:rsid w:val="00F761C9"/>
    <w:rsid w:val="00F7628B"/>
    <w:rsid w:val="00F764B7"/>
    <w:rsid w:val="00F765D6"/>
    <w:rsid w:val="00F767C3"/>
    <w:rsid w:val="00F76EE1"/>
    <w:rsid w:val="00F77531"/>
    <w:rsid w:val="00F77F03"/>
    <w:rsid w:val="00F80115"/>
    <w:rsid w:val="00F80752"/>
    <w:rsid w:val="00F80961"/>
    <w:rsid w:val="00F8147E"/>
    <w:rsid w:val="00F82354"/>
    <w:rsid w:val="00F83403"/>
    <w:rsid w:val="00F84529"/>
    <w:rsid w:val="00F859EF"/>
    <w:rsid w:val="00F86BC0"/>
    <w:rsid w:val="00F86EFC"/>
    <w:rsid w:val="00F90FC4"/>
    <w:rsid w:val="00F91102"/>
    <w:rsid w:val="00F92FEB"/>
    <w:rsid w:val="00F942B0"/>
    <w:rsid w:val="00F95EF7"/>
    <w:rsid w:val="00F96509"/>
    <w:rsid w:val="00F96FEF"/>
    <w:rsid w:val="00F97331"/>
    <w:rsid w:val="00F97984"/>
    <w:rsid w:val="00FA0554"/>
    <w:rsid w:val="00FA12B5"/>
    <w:rsid w:val="00FA2110"/>
    <w:rsid w:val="00FA2823"/>
    <w:rsid w:val="00FA3B1F"/>
    <w:rsid w:val="00FA48F4"/>
    <w:rsid w:val="00FA4D28"/>
    <w:rsid w:val="00FA6677"/>
    <w:rsid w:val="00FA671C"/>
    <w:rsid w:val="00FA70D0"/>
    <w:rsid w:val="00FA76DD"/>
    <w:rsid w:val="00FB041C"/>
    <w:rsid w:val="00FB0B87"/>
    <w:rsid w:val="00FB147C"/>
    <w:rsid w:val="00FB2039"/>
    <w:rsid w:val="00FB3901"/>
    <w:rsid w:val="00FB3C54"/>
    <w:rsid w:val="00FB4720"/>
    <w:rsid w:val="00FB49B6"/>
    <w:rsid w:val="00FB5F37"/>
    <w:rsid w:val="00FB673C"/>
    <w:rsid w:val="00FB6BE9"/>
    <w:rsid w:val="00FB70CF"/>
    <w:rsid w:val="00FB7242"/>
    <w:rsid w:val="00FB7506"/>
    <w:rsid w:val="00FB776F"/>
    <w:rsid w:val="00FB7BB4"/>
    <w:rsid w:val="00FC019B"/>
    <w:rsid w:val="00FC04F9"/>
    <w:rsid w:val="00FC04FB"/>
    <w:rsid w:val="00FC2262"/>
    <w:rsid w:val="00FC2296"/>
    <w:rsid w:val="00FC2DA4"/>
    <w:rsid w:val="00FC3DF8"/>
    <w:rsid w:val="00FC4E17"/>
    <w:rsid w:val="00FC57C3"/>
    <w:rsid w:val="00FC61F6"/>
    <w:rsid w:val="00FC6F14"/>
    <w:rsid w:val="00FC7C3C"/>
    <w:rsid w:val="00FD0981"/>
    <w:rsid w:val="00FD0AB5"/>
    <w:rsid w:val="00FD0CDC"/>
    <w:rsid w:val="00FD0D13"/>
    <w:rsid w:val="00FD1F0C"/>
    <w:rsid w:val="00FD201D"/>
    <w:rsid w:val="00FD26CB"/>
    <w:rsid w:val="00FD300E"/>
    <w:rsid w:val="00FD3657"/>
    <w:rsid w:val="00FD3E0E"/>
    <w:rsid w:val="00FD4683"/>
    <w:rsid w:val="00FD5410"/>
    <w:rsid w:val="00FD58B2"/>
    <w:rsid w:val="00FD5CD8"/>
    <w:rsid w:val="00FD624F"/>
    <w:rsid w:val="00FD69F0"/>
    <w:rsid w:val="00FD7BCB"/>
    <w:rsid w:val="00FE0866"/>
    <w:rsid w:val="00FE0DB3"/>
    <w:rsid w:val="00FE1CB5"/>
    <w:rsid w:val="00FE22C0"/>
    <w:rsid w:val="00FE2867"/>
    <w:rsid w:val="00FE2C00"/>
    <w:rsid w:val="00FE2DE2"/>
    <w:rsid w:val="00FE3B52"/>
    <w:rsid w:val="00FE3CAB"/>
    <w:rsid w:val="00FE40A2"/>
    <w:rsid w:val="00FE450D"/>
    <w:rsid w:val="00FE6317"/>
    <w:rsid w:val="00FE6BEB"/>
    <w:rsid w:val="00FE6FAF"/>
    <w:rsid w:val="00FE70D1"/>
    <w:rsid w:val="00FE7A6C"/>
    <w:rsid w:val="00FF0070"/>
    <w:rsid w:val="00FF0662"/>
    <w:rsid w:val="00FF0D31"/>
    <w:rsid w:val="00FF0D8E"/>
    <w:rsid w:val="00FF15F5"/>
    <w:rsid w:val="00FF18C9"/>
    <w:rsid w:val="00FF195B"/>
    <w:rsid w:val="00FF22DE"/>
    <w:rsid w:val="00FF288C"/>
    <w:rsid w:val="00FF2C2C"/>
    <w:rsid w:val="00FF3096"/>
    <w:rsid w:val="00FF377A"/>
    <w:rsid w:val="00FF37B0"/>
    <w:rsid w:val="00FF3E8A"/>
    <w:rsid w:val="00FF4F37"/>
    <w:rsid w:val="00FF50E9"/>
    <w:rsid w:val="00FF6724"/>
    <w:rsid w:val="00FF7920"/>
    <w:rsid w:val="00FF792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620D2E"/>
  <w15:docId w15:val="{6FAE5A49-5053-4DBB-A895-50F46EF60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22BA3"/>
    <w:pPr>
      <w:tabs>
        <w:tab w:val="left" w:pos="425"/>
        <w:tab w:val="left" w:pos="851"/>
        <w:tab w:val="left" w:pos="1276"/>
      </w:tabs>
      <w:spacing w:before="300" w:line="300" w:lineRule="exact"/>
    </w:pPr>
    <w:rPr>
      <w:rFonts w:ascii="Arial" w:hAnsi="Arial"/>
      <w:color w:val="636463"/>
      <w:sz w:val="19"/>
      <w:szCs w:val="19"/>
    </w:rPr>
  </w:style>
  <w:style w:type="paragraph" w:styleId="berschrift1">
    <w:name w:val="heading 1"/>
    <w:basedOn w:val="Standard"/>
    <w:next w:val="Standard"/>
    <w:link w:val="berschrift1Zchn"/>
    <w:qFormat/>
    <w:rsid w:val="00197E17"/>
    <w:pPr>
      <w:keepNext/>
      <w:keepLines/>
      <w:pageBreakBefore/>
      <w:numPr>
        <w:numId w:val="7"/>
      </w:numPr>
      <w:tabs>
        <w:tab w:val="clear" w:pos="425"/>
        <w:tab w:val="clear" w:pos="1276"/>
      </w:tabs>
      <w:suppressAutoHyphens/>
      <w:spacing w:before="0" w:after="1500" w:line="360" w:lineRule="exact"/>
      <w:outlineLvl w:val="0"/>
    </w:pPr>
    <w:rPr>
      <w:rFonts w:eastAsiaTheme="majorEastAsia" w:cstheme="majorBidi"/>
      <w:color w:val="272727"/>
      <w:sz w:val="25"/>
      <w:szCs w:val="25"/>
    </w:rPr>
  </w:style>
  <w:style w:type="paragraph" w:styleId="berschrift2">
    <w:name w:val="heading 2"/>
    <w:basedOn w:val="Standard"/>
    <w:next w:val="Standard"/>
    <w:link w:val="berschrift2Zchn"/>
    <w:uiPriority w:val="99"/>
    <w:unhideWhenUsed/>
    <w:qFormat/>
    <w:rsid w:val="00197E17"/>
    <w:pPr>
      <w:keepNext/>
      <w:keepLines/>
      <w:numPr>
        <w:ilvl w:val="1"/>
        <w:numId w:val="7"/>
      </w:numPr>
      <w:tabs>
        <w:tab w:val="clear" w:pos="425"/>
        <w:tab w:val="clear" w:pos="1276"/>
      </w:tabs>
      <w:suppressAutoHyphens/>
      <w:spacing w:before="1500" w:after="300" w:line="330" w:lineRule="exact"/>
      <w:outlineLvl w:val="1"/>
    </w:pPr>
    <w:rPr>
      <w:rFonts w:eastAsiaTheme="majorEastAsia" w:cstheme="majorBidi"/>
      <w:color w:val="272727"/>
      <w:sz w:val="23"/>
      <w:szCs w:val="23"/>
    </w:rPr>
  </w:style>
  <w:style w:type="paragraph" w:styleId="berschrift3">
    <w:name w:val="heading 3"/>
    <w:basedOn w:val="Standard"/>
    <w:next w:val="Standard"/>
    <w:link w:val="berschrift3Zchn"/>
    <w:uiPriority w:val="99"/>
    <w:unhideWhenUsed/>
    <w:qFormat/>
    <w:rsid w:val="00197E17"/>
    <w:pPr>
      <w:keepNext/>
      <w:keepLines/>
      <w:numPr>
        <w:ilvl w:val="2"/>
        <w:numId w:val="7"/>
      </w:numPr>
      <w:tabs>
        <w:tab w:val="clear" w:pos="425"/>
        <w:tab w:val="clear" w:pos="1276"/>
      </w:tabs>
      <w:suppressAutoHyphens/>
      <w:spacing w:before="900" w:after="300"/>
      <w:outlineLvl w:val="2"/>
    </w:pPr>
    <w:rPr>
      <w:rFonts w:eastAsiaTheme="majorEastAsia" w:cstheme="majorBidi"/>
      <w:color w:val="272727"/>
      <w:sz w:val="21"/>
      <w:szCs w:val="21"/>
    </w:rPr>
  </w:style>
  <w:style w:type="paragraph" w:styleId="berschrift4">
    <w:name w:val="heading 4"/>
    <w:basedOn w:val="Standard"/>
    <w:next w:val="Standard"/>
    <w:link w:val="berschrift4Zchn"/>
    <w:uiPriority w:val="99"/>
    <w:unhideWhenUsed/>
    <w:qFormat/>
    <w:rsid w:val="00197E17"/>
    <w:pPr>
      <w:keepNext/>
      <w:keepLines/>
      <w:numPr>
        <w:ilvl w:val="3"/>
        <w:numId w:val="7"/>
      </w:numPr>
      <w:tabs>
        <w:tab w:val="clear" w:pos="425"/>
        <w:tab w:val="clear" w:pos="1276"/>
      </w:tabs>
      <w:suppressAutoHyphens/>
      <w:spacing w:before="600" w:after="300"/>
      <w:outlineLvl w:val="3"/>
    </w:pPr>
    <w:rPr>
      <w:rFonts w:eastAsiaTheme="majorEastAsia" w:cstheme="majorBidi"/>
      <w:color w:val="272727"/>
    </w:rPr>
  </w:style>
  <w:style w:type="paragraph" w:styleId="berschrift5">
    <w:name w:val="heading 5"/>
    <w:basedOn w:val="Standard"/>
    <w:next w:val="Standard"/>
    <w:link w:val="berschrift5Zchn"/>
    <w:uiPriority w:val="99"/>
    <w:unhideWhenUsed/>
    <w:qFormat/>
    <w:rsid w:val="00197E17"/>
    <w:pPr>
      <w:keepNext/>
      <w:keepLines/>
      <w:numPr>
        <w:ilvl w:val="4"/>
        <w:numId w:val="7"/>
      </w:numPr>
      <w:tabs>
        <w:tab w:val="clear" w:pos="851"/>
      </w:tabs>
      <w:suppressAutoHyphens/>
      <w:spacing w:before="600" w:after="300"/>
      <w:outlineLvl w:val="4"/>
    </w:pPr>
    <w:rPr>
      <w:rFonts w:eastAsiaTheme="majorEastAsia" w:cstheme="majorBidi"/>
      <w:b/>
      <w:bCs/>
      <w:color w:val="272727"/>
    </w:rPr>
  </w:style>
  <w:style w:type="paragraph" w:styleId="berschrift6">
    <w:name w:val="heading 6"/>
    <w:basedOn w:val="Standard"/>
    <w:next w:val="Standard"/>
    <w:link w:val="berschrift6Zchn"/>
    <w:uiPriority w:val="99"/>
    <w:unhideWhenUsed/>
    <w:qFormat/>
    <w:rsid w:val="00197E17"/>
    <w:pPr>
      <w:keepNext/>
      <w:keepLines/>
      <w:numPr>
        <w:ilvl w:val="5"/>
        <w:numId w:val="7"/>
      </w:numPr>
      <w:tabs>
        <w:tab w:val="clear" w:pos="851"/>
      </w:tabs>
      <w:suppressAutoHyphens/>
      <w:spacing w:before="600" w:after="300"/>
      <w:outlineLvl w:val="5"/>
    </w:pPr>
    <w:rPr>
      <w:rFonts w:eastAsiaTheme="majorEastAsia" w:cstheme="majorBidi"/>
      <w:color w:val="272727"/>
    </w:rPr>
  </w:style>
  <w:style w:type="paragraph" w:styleId="berschrift7">
    <w:name w:val="heading 7"/>
    <w:basedOn w:val="Standard"/>
    <w:next w:val="Standard"/>
    <w:link w:val="berschrift7Zchn"/>
    <w:uiPriority w:val="99"/>
    <w:unhideWhenUsed/>
    <w:qFormat/>
    <w:rsid w:val="00197E17"/>
    <w:pPr>
      <w:keepNext/>
      <w:keepLines/>
      <w:numPr>
        <w:ilvl w:val="6"/>
        <w:numId w:val="7"/>
      </w:numPr>
      <w:tabs>
        <w:tab w:val="clear" w:pos="851"/>
        <w:tab w:val="clear" w:pos="1276"/>
      </w:tabs>
      <w:spacing w:before="600" w:after="300"/>
      <w:outlineLvl w:val="6"/>
    </w:pPr>
    <w:rPr>
      <w:b/>
    </w:rPr>
  </w:style>
  <w:style w:type="paragraph" w:styleId="berschrift8">
    <w:name w:val="heading 8"/>
    <w:basedOn w:val="Standard"/>
    <w:next w:val="Standard"/>
    <w:link w:val="berschrift8Zchn"/>
    <w:uiPriority w:val="99"/>
    <w:unhideWhenUsed/>
    <w:qFormat/>
    <w:rsid w:val="00197E17"/>
    <w:pPr>
      <w:numPr>
        <w:ilvl w:val="7"/>
        <w:numId w:val="7"/>
      </w:numPr>
      <w:tabs>
        <w:tab w:val="clear" w:pos="851"/>
      </w:tabs>
      <w:spacing w:before="600" w:after="300"/>
      <w:outlineLvl w:val="7"/>
    </w:pPr>
    <w:rPr>
      <w:b/>
      <w:szCs w:val="20"/>
    </w:rPr>
  </w:style>
  <w:style w:type="paragraph" w:styleId="berschrift9">
    <w:name w:val="heading 9"/>
    <w:basedOn w:val="Standard"/>
    <w:next w:val="Standard"/>
    <w:link w:val="berschrift9Zchn"/>
    <w:uiPriority w:val="99"/>
    <w:unhideWhenUsed/>
    <w:qFormat/>
    <w:rsid w:val="00197E17"/>
    <w:pPr>
      <w:numPr>
        <w:ilvl w:val="8"/>
        <w:numId w:val="7"/>
      </w:numPr>
      <w:tabs>
        <w:tab w:val="clear" w:pos="425"/>
        <w:tab w:val="clear" w:pos="1276"/>
      </w:tabs>
      <w:spacing w:before="600" w:after="300"/>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97E17"/>
    <w:rPr>
      <w:rFonts w:ascii="Arial" w:eastAsiaTheme="majorEastAsia" w:hAnsi="Arial" w:cstheme="majorBidi"/>
      <w:color w:val="272727"/>
      <w:sz w:val="25"/>
      <w:szCs w:val="25"/>
    </w:rPr>
  </w:style>
  <w:style w:type="character" w:customStyle="1" w:styleId="berschrift2Zchn">
    <w:name w:val="Überschrift 2 Zchn"/>
    <w:basedOn w:val="Absatz-Standardschriftart"/>
    <w:link w:val="berschrift2"/>
    <w:uiPriority w:val="99"/>
    <w:rsid w:val="00197E17"/>
    <w:rPr>
      <w:rFonts w:ascii="Arial" w:eastAsiaTheme="majorEastAsia" w:hAnsi="Arial" w:cstheme="majorBidi"/>
      <w:color w:val="272727"/>
      <w:sz w:val="23"/>
      <w:szCs w:val="23"/>
    </w:rPr>
  </w:style>
  <w:style w:type="character" w:customStyle="1" w:styleId="berschrift3Zchn">
    <w:name w:val="Überschrift 3 Zchn"/>
    <w:basedOn w:val="Absatz-Standardschriftart"/>
    <w:link w:val="berschrift3"/>
    <w:uiPriority w:val="99"/>
    <w:rsid w:val="00197E17"/>
    <w:rPr>
      <w:rFonts w:ascii="Arial" w:eastAsiaTheme="majorEastAsia" w:hAnsi="Arial" w:cstheme="majorBidi"/>
      <w:color w:val="272727"/>
      <w:sz w:val="21"/>
      <w:szCs w:val="21"/>
    </w:rPr>
  </w:style>
  <w:style w:type="character" w:customStyle="1" w:styleId="berschrift4Zchn">
    <w:name w:val="Überschrift 4 Zchn"/>
    <w:basedOn w:val="Absatz-Standardschriftart"/>
    <w:link w:val="berschrift4"/>
    <w:uiPriority w:val="99"/>
    <w:rsid w:val="00197E17"/>
    <w:rPr>
      <w:rFonts w:ascii="Arial" w:eastAsiaTheme="majorEastAsia" w:hAnsi="Arial" w:cstheme="majorBidi"/>
      <w:color w:val="272727"/>
      <w:sz w:val="19"/>
      <w:szCs w:val="19"/>
    </w:rPr>
  </w:style>
  <w:style w:type="character" w:customStyle="1" w:styleId="berschrift5Zchn">
    <w:name w:val="Überschrift 5 Zchn"/>
    <w:basedOn w:val="Absatz-Standardschriftart"/>
    <w:link w:val="berschrift5"/>
    <w:uiPriority w:val="99"/>
    <w:rsid w:val="00197E17"/>
    <w:rPr>
      <w:rFonts w:ascii="Arial" w:eastAsiaTheme="majorEastAsia" w:hAnsi="Arial" w:cstheme="majorBidi"/>
      <w:b/>
      <w:bCs/>
      <w:color w:val="272727"/>
      <w:sz w:val="19"/>
      <w:szCs w:val="19"/>
    </w:rPr>
  </w:style>
  <w:style w:type="character" w:customStyle="1" w:styleId="berschrift6Zchn">
    <w:name w:val="Überschrift 6 Zchn"/>
    <w:basedOn w:val="Absatz-Standardschriftart"/>
    <w:link w:val="berschrift6"/>
    <w:uiPriority w:val="99"/>
    <w:rsid w:val="00197E17"/>
    <w:rPr>
      <w:rFonts w:ascii="Arial" w:eastAsiaTheme="majorEastAsia" w:hAnsi="Arial" w:cstheme="majorBidi"/>
      <w:color w:val="272727"/>
      <w:sz w:val="19"/>
      <w:szCs w:val="19"/>
    </w:rPr>
  </w:style>
  <w:style w:type="character" w:customStyle="1" w:styleId="berschrift7Zchn">
    <w:name w:val="Überschrift 7 Zchn"/>
    <w:basedOn w:val="Absatz-Standardschriftart"/>
    <w:link w:val="berschrift7"/>
    <w:uiPriority w:val="99"/>
    <w:rsid w:val="00197E17"/>
    <w:rPr>
      <w:rFonts w:ascii="Arial" w:hAnsi="Arial"/>
      <w:b/>
      <w:color w:val="636463"/>
      <w:sz w:val="19"/>
      <w:szCs w:val="19"/>
    </w:rPr>
  </w:style>
  <w:style w:type="character" w:customStyle="1" w:styleId="berschrift8Zchn">
    <w:name w:val="Überschrift 8 Zchn"/>
    <w:basedOn w:val="Absatz-Standardschriftart"/>
    <w:link w:val="berschrift8"/>
    <w:uiPriority w:val="99"/>
    <w:rsid w:val="00197E17"/>
    <w:rPr>
      <w:rFonts w:ascii="Arial" w:hAnsi="Arial"/>
      <w:b/>
      <w:color w:val="636463"/>
      <w:sz w:val="19"/>
      <w:szCs w:val="20"/>
    </w:rPr>
  </w:style>
  <w:style w:type="character" w:customStyle="1" w:styleId="berschrift9Zchn">
    <w:name w:val="Überschrift 9 Zchn"/>
    <w:basedOn w:val="Absatz-Standardschriftart"/>
    <w:link w:val="berschrift9"/>
    <w:uiPriority w:val="99"/>
    <w:rsid w:val="00197E17"/>
    <w:rPr>
      <w:rFonts w:ascii="Arial" w:hAnsi="Arial"/>
      <w:b/>
      <w:color w:val="636463"/>
      <w:sz w:val="19"/>
      <w:szCs w:val="19"/>
    </w:rPr>
  </w:style>
  <w:style w:type="paragraph" w:customStyle="1" w:styleId="Absatzpunkt1EbeneText">
    <w:name w:val="Absatzpunkt (1. Ebene): Text"/>
    <w:basedOn w:val="Standard"/>
    <w:next w:val="Standard"/>
    <w:qFormat/>
    <w:rsid w:val="007B3775"/>
    <w:pPr>
      <w:numPr>
        <w:numId w:val="1"/>
      </w:numPr>
      <w:tabs>
        <w:tab w:val="clear" w:pos="425"/>
        <w:tab w:val="clear" w:pos="851"/>
        <w:tab w:val="clear" w:pos="1276"/>
      </w:tabs>
      <w:spacing w:before="150"/>
    </w:pPr>
  </w:style>
  <w:style w:type="paragraph" w:customStyle="1" w:styleId="Absatzpunkt2EbeneText">
    <w:name w:val="Absatzpunkt (2. Ebene): Text"/>
    <w:basedOn w:val="Standard"/>
    <w:next w:val="Standard"/>
    <w:qFormat/>
    <w:rsid w:val="007B3775"/>
    <w:pPr>
      <w:numPr>
        <w:numId w:val="2"/>
      </w:numPr>
      <w:tabs>
        <w:tab w:val="clear" w:pos="425"/>
        <w:tab w:val="clear" w:pos="851"/>
        <w:tab w:val="clear" w:pos="1276"/>
      </w:tabs>
      <w:spacing w:before="150"/>
    </w:pPr>
  </w:style>
  <w:style w:type="paragraph" w:styleId="Kopfzeile">
    <w:name w:val="header"/>
    <w:basedOn w:val="Standard"/>
    <w:next w:val="Standard"/>
    <w:link w:val="KopfzeileZchn"/>
    <w:uiPriority w:val="99"/>
    <w:unhideWhenUsed/>
    <w:qFormat/>
    <w:rsid w:val="00DC20EE"/>
    <w:pPr>
      <w:tabs>
        <w:tab w:val="clear" w:pos="425"/>
        <w:tab w:val="clear" w:pos="851"/>
        <w:tab w:val="clear" w:pos="1276"/>
      </w:tabs>
      <w:spacing w:before="0" w:line="240" w:lineRule="exact"/>
      <w:jc w:val="right"/>
    </w:pPr>
    <w:rPr>
      <w:sz w:val="15"/>
    </w:rPr>
  </w:style>
  <w:style w:type="character" w:customStyle="1" w:styleId="KopfzeileZchn">
    <w:name w:val="Kopfzeile Zchn"/>
    <w:basedOn w:val="Absatz-Standardschriftart"/>
    <w:link w:val="Kopfzeile"/>
    <w:uiPriority w:val="99"/>
    <w:rsid w:val="00DC20EE"/>
    <w:rPr>
      <w:rFonts w:ascii="Arial" w:hAnsi="Arial"/>
      <w:color w:val="636463"/>
      <w:sz w:val="15"/>
      <w:szCs w:val="19"/>
    </w:rPr>
  </w:style>
  <w:style w:type="paragraph" w:styleId="Fuzeile">
    <w:name w:val="footer"/>
    <w:basedOn w:val="Standard"/>
    <w:next w:val="Standard"/>
    <w:link w:val="FuzeileZchn"/>
    <w:uiPriority w:val="99"/>
    <w:unhideWhenUsed/>
    <w:rsid w:val="00DC20EE"/>
    <w:pPr>
      <w:tabs>
        <w:tab w:val="left" w:pos="170"/>
        <w:tab w:val="left" w:pos="255"/>
        <w:tab w:val="left" w:pos="340"/>
      </w:tabs>
      <w:spacing w:before="0" w:line="240" w:lineRule="exact"/>
      <w:jc w:val="right"/>
    </w:pPr>
    <w:rPr>
      <w:sz w:val="15"/>
      <w:szCs w:val="16"/>
    </w:rPr>
  </w:style>
  <w:style w:type="character" w:customStyle="1" w:styleId="FuzeileZchn">
    <w:name w:val="Fußzeile Zchn"/>
    <w:basedOn w:val="Absatz-Standardschriftart"/>
    <w:link w:val="Fuzeile"/>
    <w:uiPriority w:val="99"/>
    <w:rsid w:val="00DC20EE"/>
    <w:rPr>
      <w:rFonts w:ascii="Arial" w:hAnsi="Arial"/>
      <w:color w:val="636463"/>
      <w:sz w:val="15"/>
      <w:szCs w:val="16"/>
    </w:rPr>
  </w:style>
  <w:style w:type="character" w:styleId="Seitenzahl">
    <w:name w:val="page number"/>
    <w:basedOn w:val="Absatz-Standardschriftart"/>
    <w:uiPriority w:val="99"/>
    <w:semiHidden/>
    <w:unhideWhenUsed/>
    <w:rsid w:val="00E00A57"/>
  </w:style>
  <w:style w:type="paragraph" w:customStyle="1" w:styleId="AufzhlungI">
    <w:name w:val="Aufzählung (I."/>
    <w:aliases w:val="II.,III.…)"/>
    <w:basedOn w:val="Standard"/>
    <w:next w:val="Standard"/>
    <w:qFormat/>
    <w:rsid w:val="007A4CC4"/>
    <w:pPr>
      <w:numPr>
        <w:numId w:val="4"/>
      </w:numPr>
      <w:tabs>
        <w:tab w:val="clear" w:pos="425"/>
      </w:tabs>
      <w:spacing w:before="150"/>
    </w:pPr>
  </w:style>
  <w:style w:type="paragraph" w:styleId="Sprechblasentext">
    <w:name w:val="Balloon Text"/>
    <w:basedOn w:val="Standard"/>
    <w:link w:val="SprechblasentextZchn"/>
    <w:uiPriority w:val="99"/>
    <w:semiHidden/>
    <w:unhideWhenUsed/>
    <w:rsid w:val="00C66104"/>
    <w:pPr>
      <w:spacing w:before="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66104"/>
    <w:rPr>
      <w:rFonts w:ascii="Lucida Grande" w:hAnsi="Lucida Grande" w:cs="Lucida Grande"/>
      <w:color w:val="636463"/>
      <w:sz w:val="18"/>
      <w:szCs w:val="18"/>
    </w:rPr>
  </w:style>
  <w:style w:type="paragraph" w:customStyle="1" w:styleId="Aufzhlung1">
    <w:name w:val="Aufzählung (1."/>
    <w:aliases w:val="2.,3.…)"/>
    <w:basedOn w:val="Standard"/>
    <w:next w:val="Standard"/>
    <w:rsid w:val="009C5C9C"/>
    <w:pPr>
      <w:numPr>
        <w:numId w:val="5"/>
      </w:numPr>
      <w:tabs>
        <w:tab w:val="clear" w:pos="425"/>
      </w:tabs>
      <w:spacing w:before="150"/>
    </w:pPr>
  </w:style>
  <w:style w:type="paragraph" w:customStyle="1" w:styleId="Aufzhlunga">
    <w:name w:val="Aufzählung (a)"/>
    <w:aliases w:val="b),c)…)"/>
    <w:basedOn w:val="Standard"/>
    <w:next w:val="Standard"/>
    <w:qFormat/>
    <w:rsid w:val="007A4CC4"/>
    <w:pPr>
      <w:numPr>
        <w:numId w:val="6"/>
      </w:numPr>
      <w:tabs>
        <w:tab w:val="clear" w:pos="425"/>
      </w:tabs>
      <w:spacing w:before="150"/>
    </w:pPr>
  </w:style>
  <w:style w:type="paragraph" w:customStyle="1" w:styleId="Absatzpunkt3EbeneText">
    <w:name w:val="Absatzpunkt (3. Ebene): Text"/>
    <w:basedOn w:val="Standard"/>
    <w:next w:val="Standard"/>
    <w:qFormat/>
    <w:rsid w:val="007B3775"/>
    <w:pPr>
      <w:numPr>
        <w:numId w:val="3"/>
      </w:numPr>
      <w:tabs>
        <w:tab w:val="clear" w:pos="425"/>
        <w:tab w:val="clear" w:pos="851"/>
        <w:tab w:val="clear" w:pos="1276"/>
      </w:tabs>
      <w:spacing w:before="150"/>
    </w:pPr>
  </w:style>
  <w:style w:type="paragraph" w:customStyle="1" w:styleId="GrafikBild">
    <w:name w:val="Grafik: Bild"/>
    <w:basedOn w:val="Standard"/>
    <w:next w:val="Standard"/>
    <w:qFormat/>
    <w:rsid w:val="00A11CD7"/>
    <w:pPr>
      <w:spacing w:before="600" w:line="360" w:lineRule="auto"/>
    </w:pPr>
    <w:rPr>
      <w:noProof/>
    </w:rPr>
  </w:style>
  <w:style w:type="paragraph" w:customStyle="1" w:styleId="TabelleText">
    <w:name w:val="Tabelle: Text"/>
    <w:basedOn w:val="Standard"/>
    <w:next w:val="Standard"/>
    <w:qFormat/>
    <w:rsid w:val="00BA22B7"/>
    <w:pPr>
      <w:tabs>
        <w:tab w:val="clear" w:pos="425"/>
        <w:tab w:val="clear" w:pos="851"/>
        <w:tab w:val="clear" w:pos="1276"/>
      </w:tabs>
      <w:spacing w:before="0" w:after="135" w:line="270" w:lineRule="exact"/>
    </w:pPr>
    <w:rPr>
      <w:sz w:val="17"/>
      <w:szCs w:val="17"/>
    </w:rPr>
  </w:style>
  <w:style w:type="paragraph" w:customStyle="1" w:styleId="Tabelleberschrift1">
    <w:name w:val="Tabelle: Überschrift 1"/>
    <w:basedOn w:val="Standard"/>
    <w:next w:val="Standard"/>
    <w:qFormat/>
    <w:rsid w:val="00E13D46"/>
    <w:pPr>
      <w:keepNext/>
      <w:keepLines/>
      <w:tabs>
        <w:tab w:val="clear" w:pos="425"/>
        <w:tab w:val="clear" w:pos="851"/>
        <w:tab w:val="clear" w:pos="1276"/>
      </w:tabs>
      <w:suppressAutoHyphens/>
      <w:spacing w:before="0" w:after="300"/>
    </w:pPr>
    <w:rPr>
      <w:b/>
      <w:bCs/>
      <w:color w:val="272727"/>
      <w:szCs w:val="17"/>
    </w:rPr>
  </w:style>
  <w:style w:type="table" w:styleId="Tabellenraster">
    <w:name w:val="Table Grid"/>
    <w:basedOn w:val="NormaleTabelle"/>
    <w:uiPriority w:val="39"/>
    <w:rsid w:val="00853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next w:val="Standard"/>
    <w:link w:val="FunotentextZchn"/>
    <w:uiPriority w:val="99"/>
    <w:unhideWhenUsed/>
    <w:rsid w:val="007A25C3"/>
    <w:pPr>
      <w:tabs>
        <w:tab w:val="left" w:pos="170"/>
        <w:tab w:val="left" w:pos="255"/>
        <w:tab w:val="left" w:pos="340"/>
      </w:tabs>
      <w:spacing w:before="0" w:line="240" w:lineRule="exact"/>
      <w:ind w:left="170" w:hanging="170"/>
    </w:pPr>
    <w:rPr>
      <w:rFonts w:eastAsia="Times New Roman" w:cs="Arial"/>
      <w:sz w:val="15"/>
      <w:szCs w:val="15"/>
    </w:rPr>
  </w:style>
  <w:style w:type="character" w:customStyle="1" w:styleId="FunotentextZchn">
    <w:name w:val="Fußnotentext Zchn"/>
    <w:basedOn w:val="Absatz-Standardschriftart"/>
    <w:link w:val="Funotentext"/>
    <w:uiPriority w:val="99"/>
    <w:rsid w:val="007A25C3"/>
    <w:rPr>
      <w:rFonts w:ascii="Arial" w:eastAsia="Times New Roman" w:hAnsi="Arial" w:cs="Arial"/>
      <w:color w:val="636463"/>
      <w:sz w:val="15"/>
      <w:szCs w:val="15"/>
    </w:rPr>
  </w:style>
  <w:style w:type="table" w:customStyle="1" w:styleId="HelleSchattierung1">
    <w:name w:val="Helle Schattierung1"/>
    <w:basedOn w:val="NormaleTabelle"/>
    <w:uiPriority w:val="60"/>
    <w:rsid w:val="00411D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HelleSchattierung-Akzent11">
    <w:name w:val="Helle Schattierung - Akzent 11"/>
    <w:basedOn w:val="NormaleTabelle"/>
    <w:uiPriority w:val="60"/>
    <w:rsid w:val="00411DD1"/>
    <w:rPr>
      <w:color w:val="39403E" w:themeColor="accent1" w:themeShade="BF"/>
    </w:rPr>
    <w:tblPr>
      <w:tblStyleRowBandSize w:val="1"/>
      <w:tblStyleColBandSize w:val="1"/>
      <w:tblBorders>
        <w:top w:val="single" w:sz="8" w:space="0" w:color="4D5654" w:themeColor="accent1"/>
        <w:bottom w:val="single" w:sz="8" w:space="0" w:color="4D5654" w:themeColor="accent1"/>
      </w:tblBorders>
    </w:tblPr>
    <w:tblStylePr w:type="firstRow">
      <w:pPr>
        <w:spacing w:before="0" w:after="0" w:line="240" w:lineRule="auto"/>
      </w:pPr>
      <w:rPr>
        <w:b/>
        <w:bCs/>
      </w:rPr>
      <w:tblPr/>
      <w:tcPr>
        <w:tcBorders>
          <w:top w:val="single" w:sz="8" w:space="0" w:color="4D5654" w:themeColor="accent1"/>
          <w:left w:val="nil"/>
          <w:bottom w:val="single" w:sz="8" w:space="0" w:color="4D5654" w:themeColor="accent1"/>
          <w:right w:val="nil"/>
          <w:insideH w:val="nil"/>
          <w:insideV w:val="nil"/>
        </w:tcBorders>
      </w:tcPr>
    </w:tblStylePr>
    <w:tblStylePr w:type="lastRow">
      <w:pPr>
        <w:spacing w:before="0" w:after="0" w:line="240" w:lineRule="auto"/>
      </w:pPr>
      <w:rPr>
        <w:b/>
        <w:bCs/>
      </w:rPr>
      <w:tblPr/>
      <w:tcPr>
        <w:tcBorders>
          <w:top w:val="single" w:sz="8" w:space="0" w:color="4D5654" w:themeColor="accent1"/>
          <w:left w:val="nil"/>
          <w:bottom w:val="single" w:sz="8" w:space="0" w:color="4D565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6D5" w:themeFill="accent1" w:themeFillTint="3F"/>
      </w:tcPr>
    </w:tblStylePr>
    <w:tblStylePr w:type="band1Horz">
      <w:tblPr/>
      <w:tcPr>
        <w:tcBorders>
          <w:left w:val="nil"/>
          <w:right w:val="nil"/>
          <w:insideH w:val="nil"/>
          <w:insideV w:val="nil"/>
        </w:tcBorders>
        <w:shd w:val="clear" w:color="auto" w:fill="D1D6D5" w:themeFill="accent1" w:themeFillTint="3F"/>
      </w:tcPr>
    </w:tblStylePr>
  </w:style>
  <w:style w:type="table" w:styleId="HelleSchattierung-Akzent2">
    <w:name w:val="Light Shading Accent 2"/>
    <w:basedOn w:val="NormaleTabelle"/>
    <w:uiPriority w:val="60"/>
    <w:rsid w:val="00411DD1"/>
    <w:rPr>
      <w:color w:val="A74A18" w:themeColor="accent2" w:themeShade="BF"/>
    </w:rPr>
    <w:tblPr>
      <w:tblStyleRowBandSize w:val="1"/>
      <w:tblStyleColBandSize w:val="1"/>
      <w:tblBorders>
        <w:top w:val="single" w:sz="8" w:space="0" w:color="DF6421" w:themeColor="accent2"/>
        <w:bottom w:val="single" w:sz="8" w:space="0" w:color="DF6421" w:themeColor="accent2"/>
      </w:tblBorders>
    </w:tblPr>
    <w:tblStylePr w:type="firstRow">
      <w:pPr>
        <w:spacing w:before="0" w:after="0" w:line="240" w:lineRule="auto"/>
      </w:pPr>
      <w:rPr>
        <w:b/>
        <w:bCs/>
      </w:rPr>
      <w:tblPr/>
      <w:tcPr>
        <w:tcBorders>
          <w:top w:val="single" w:sz="8" w:space="0" w:color="DF6421" w:themeColor="accent2"/>
          <w:left w:val="nil"/>
          <w:bottom w:val="single" w:sz="8" w:space="0" w:color="DF6421" w:themeColor="accent2"/>
          <w:right w:val="nil"/>
          <w:insideH w:val="nil"/>
          <w:insideV w:val="nil"/>
        </w:tcBorders>
      </w:tcPr>
    </w:tblStylePr>
    <w:tblStylePr w:type="lastRow">
      <w:pPr>
        <w:spacing w:before="0" w:after="0" w:line="240" w:lineRule="auto"/>
      </w:pPr>
      <w:rPr>
        <w:b/>
        <w:bCs/>
      </w:rPr>
      <w:tblPr/>
      <w:tcPr>
        <w:tcBorders>
          <w:top w:val="single" w:sz="8" w:space="0" w:color="DF6421" w:themeColor="accent2"/>
          <w:left w:val="nil"/>
          <w:bottom w:val="single" w:sz="8" w:space="0" w:color="DF642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8C7" w:themeFill="accent2" w:themeFillTint="3F"/>
      </w:tcPr>
    </w:tblStylePr>
    <w:tblStylePr w:type="band1Horz">
      <w:tblPr/>
      <w:tcPr>
        <w:tcBorders>
          <w:left w:val="nil"/>
          <w:right w:val="nil"/>
          <w:insideH w:val="nil"/>
          <w:insideV w:val="nil"/>
        </w:tcBorders>
        <w:shd w:val="clear" w:color="auto" w:fill="F7D8C7" w:themeFill="accent2" w:themeFillTint="3F"/>
      </w:tcPr>
    </w:tblStylePr>
  </w:style>
  <w:style w:type="table" w:styleId="HelleSchattierung-Akzent3">
    <w:name w:val="Light Shading Accent 3"/>
    <w:basedOn w:val="NormaleTabelle"/>
    <w:uiPriority w:val="60"/>
    <w:rsid w:val="00411DD1"/>
    <w:rPr>
      <w:color w:val="99002B" w:themeColor="accent3" w:themeShade="BF"/>
    </w:rPr>
    <w:tblPr>
      <w:tblStyleRowBandSize w:val="1"/>
      <w:tblStyleColBandSize w:val="1"/>
      <w:tblBorders>
        <w:top w:val="single" w:sz="8" w:space="0" w:color="CD003A" w:themeColor="accent3"/>
        <w:bottom w:val="single" w:sz="8" w:space="0" w:color="CD003A" w:themeColor="accent3"/>
      </w:tblBorders>
    </w:tblPr>
    <w:tblStylePr w:type="firstRow">
      <w:pPr>
        <w:spacing w:before="0" w:after="0" w:line="240" w:lineRule="auto"/>
      </w:pPr>
      <w:rPr>
        <w:b/>
        <w:bCs/>
      </w:rPr>
      <w:tblPr/>
      <w:tcPr>
        <w:tcBorders>
          <w:top w:val="single" w:sz="8" w:space="0" w:color="CD003A" w:themeColor="accent3"/>
          <w:left w:val="nil"/>
          <w:bottom w:val="single" w:sz="8" w:space="0" w:color="CD003A" w:themeColor="accent3"/>
          <w:right w:val="nil"/>
          <w:insideH w:val="nil"/>
          <w:insideV w:val="nil"/>
        </w:tcBorders>
      </w:tcPr>
    </w:tblStylePr>
    <w:tblStylePr w:type="lastRow">
      <w:pPr>
        <w:spacing w:before="0" w:after="0" w:line="240" w:lineRule="auto"/>
      </w:pPr>
      <w:rPr>
        <w:b/>
        <w:bCs/>
      </w:rPr>
      <w:tblPr/>
      <w:tcPr>
        <w:tcBorders>
          <w:top w:val="single" w:sz="8" w:space="0" w:color="CD003A" w:themeColor="accent3"/>
          <w:left w:val="nil"/>
          <w:bottom w:val="single" w:sz="8" w:space="0" w:color="CD003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3C8" w:themeFill="accent3" w:themeFillTint="3F"/>
      </w:tcPr>
    </w:tblStylePr>
    <w:tblStylePr w:type="band1Horz">
      <w:tblPr/>
      <w:tcPr>
        <w:tcBorders>
          <w:left w:val="nil"/>
          <w:right w:val="nil"/>
          <w:insideH w:val="nil"/>
          <w:insideV w:val="nil"/>
        </w:tcBorders>
        <w:shd w:val="clear" w:color="auto" w:fill="FFB3C8" w:themeFill="accent3" w:themeFillTint="3F"/>
      </w:tcPr>
    </w:tblStylePr>
  </w:style>
  <w:style w:type="table" w:styleId="HelleSchattierung-Akzent5">
    <w:name w:val="Light Shading Accent 5"/>
    <w:basedOn w:val="NormaleTabelle"/>
    <w:uiPriority w:val="60"/>
    <w:rsid w:val="00411DD1"/>
    <w:rPr>
      <w:color w:val="44124D" w:themeColor="accent5" w:themeShade="BF"/>
    </w:rPr>
    <w:tblPr>
      <w:tblStyleRowBandSize w:val="1"/>
      <w:tblStyleColBandSize w:val="1"/>
      <w:tblBorders>
        <w:top w:val="single" w:sz="8" w:space="0" w:color="5C1867" w:themeColor="accent5"/>
        <w:bottom w:val="single" w:sz="8" w:space="0" w:color="5C1867" w:themeColor="accent5"/>
      </w:tblBorders>
    </w:tblPr>
    <w:tblStylePr w:type="firstRow">
      <w:pPr>
        <w:spacing w:before="0" w:after="0" w:line="240" w:lineRule="auto"/>
      </w:pPr>
      <w:rPr>
        <w:b/>
        <w:bCs/>
      </w:rPr>
      <w:tblPr/>
      <w:tcPr>
        <w:tcBorders>
          <w:top w:val="single" w:sz="8" w:space="0" w:color="5C1867" w:themeColor="accent5"/>
          <w:left w:val="nil"/>
          <w:bottom w:val="single" w:sz="8" w:space="0" w:color="5C1867" w:themeColor="accent5"/>
          <w:right w:val="nil"/>
          <w:insideH w:val="nil"/>
          <w:insideV w:val="nil"/>
        </w:tcBorders>
      </w:tcPr>
    </w:tblStylePr>
    <w:tblStylePr w:type="lastRow">
      <w:pPr>
        <w:spacing w:before="0" w:after="0" w:line="240" w:lineRule="auto"/>
      </w:pPr>
      <w:rPr>
        <w:b/>
        <w:bCs/>
      </w:rPr>
      <w:tblPr/>
      <w:tcPr>
        <w:tcBorders>
          <w:top w:val="single" w:sz="8" w:space="0" w:color="5C1867" w:themeColor="accent5"/>
          <w:left w:val="nil"/>
          <w:bottom w:val="single" w:sz="8" w:space="0" w:color="5C186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2ED" w:themeFill="accent5" w:themeFillTint="3F"/>
      </w:tcPr>
    </w:tblStylePr>
    <w:tblStylePr w:type="band1Horz">
      <w:tblPr/>
      <w:tcPr>
        <w:tcBorders>
          <w:left w:val="nil"/>
          <w:right w:val="nil"/>
          <w:insideH w:val="nil"/>
          <w:insideV w:val="nil"/>
        </w:tcBorders>
        <w:shd w:val="clear" w:color="auto" w:fill="E4B2ED" w:themeFill="accent5" w:themeFillTint="3F"/>
      </w:tcPr>
    </w:tblStylePr>
  </w:style>
  <w:style w:type="table" w:styleId="HelleSchattierung-Akzent6">
    <w:name w:val="Light Shading Accent 6"/>
    <w:basedOn w:val="NormaleTabelle"/>
    <w:uiPriority w:val="60"/>
    <w:rsid w:val="00411DD1"/>
    <w:rPr>
      <w:color w:val="003567" w:themeColor="accent6" w:themeShade="BF"/>
    </w:rPr>
    <w:tblPr>
      <w:tblStyleRowBandSize w:val="1"/>
      <w:tblStyleColBandSize w:val="1"/>
      <w:tblBorders>
        <w:top w:val="single" w:sz="8" w:space="0" w:color="00478A" w:themeColor="accent6"/>
        <w:bottom w:val="single" w:sz="8" w:space="0" w:color="00478A" w:themeColor="accent6"/>
      </w:tblBorders>
    </w:tblPr>
    <w:tblStylePr w:type="firstRow">
      <w:pPr>
        <w:spacing w:before="0" w:after="0" w:line="240" w:lineRule="auto"/>
      </w:pPr>
      <w:rPr>
        <w:b/>
        <w:bCs/>
      </w:rPr>
      <w:tblPr/>
      <w:tcPr>
        <w:tcBorders>
          <w:top w:val="single" w:sz="8" w:space="0" w:color="00478A" w:themeColor="accent6"/>
          <w:left w:val="nil"/>
          <w:bottom w:val="single" w:sz="8" w:space="0" w:color="00478A" w:themeColor="accent6"/>
          <w:right w:val="nil"/>
          <w:insideH w:val="nil"/>
          <w:insideV w:val="nil"/>
        </w:tcBorders>
      </w:tcPr>
    </w:tblStylePr>
    <w:tblStylePr w:type="lastRow">
      <w:pPr>
        <w:spacing w:before="0" w:after="0" w:line="240" w:lineRule="auto"/>
      </w:pPr>
      <w:rPr>
        <w:b/>
        <w:bCs/>
      </w:rPr>
      <w:tblPr/>
      <w:tcPr>
        <w:tcBorders>
          <w:top w:val="single" w:sz="8" w:space="0" w:color="00478A" w:themeColor="accent6"/>
          <w:left w:val="nil"/>
          <w:bottom w:val="single" w:sz="8" w:space="0" w:color="00478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D2FF" w:themeFill="accent6" w:themeFillTint="3F"/>
      </w:tcPr>
    </w:tblStylePr>
    <w:tblStylePr w:type="band1Horz">
      <w:tblPr/>
      <w:tcPr>
        <w:tcBorders>
          <w:left w:val="nil"/>
          <w:right w:val="nil"/>
          <w:insideH w:val="nil"/>
          <w:insideV w:val="nil"/>
        </w:tcBorders>
        <w:shd w:val="clear" w:color="auto" w:fill="A3D2FF" w:themeFill="accent6" w:themeFillTint="3F"/>
      </w:tcPr>
    </w:tblStylePr>
  </w:style>
  <w:style w:type="table" w:customStyle="1" w:styleId="HelleListe1">
    <w:name w:val="Helle Liste1"/>
    <w:basedOn w:val="NormaleTabelle"/>
    <w:uiPriority w:val="61"/>
    <w:rsid w:val="00411D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ittleresRaster21">
    <w:name w:val="Mittleres Raster 21"/>
    <w:basedOn w:val="NormaleTabelle"/>
    <w:uiPriority w:val="68"/>
    <w:rsid w:val="00411D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411DD1"/>
    <w:rPr>
      <w:rFonts w:asciiTheme="majorHAnsi" w:eastAsiaTheme="majorEastAsia" w:hAnsiTheme="majorHAnsi" w:cstheme="majorBidi"/>
      <w:color w:val="000000" w:themeColor="text1"/>
    </w:rPr>
    <w:tblPr>
      <w:tblStyleRowBandSize w:val="1"/>
      <w:tblStyleColBandSize w:val="1"/>
      <w:tblBorders>
        <w:top w:val="single" w:sz="8" w:space="0" w:color="4D5654" w:themeColor="accent1"/>
        <w:left w:val="single" w:sz="8" w:space="0" w:color="4D5654" w:themeColor="accent1"/>
        <w:bottom w:val="single" w:sz="8" w:space="0" w:color="4D5654" w:themeColor="accent1"/>
        <w:right w:val="single" w:sz="8" w:space="0" w:color="4D5654" w:themeColor="accent1"/>
        <w:insideH w:val="single" w:sz="8" w:space="0" w:color="4D5654" w:themeColor="accent1"/>
        <w:insideV w:val="single" w:sz="8" w:space="0" w:color="4D5654" w:themeColor="accent1"/>
      </w:tblBorders>
    </w:tblPr>
    <w:tcPr>
      <w:shd w:val="clear" w:color="auto" w:fill="D1D6D5" w:themeFill="accent1" w:themeFillTint="3F"/>
    </w:tcPr>
    <w:tblStylePr w:type="firstRow">
      <w:rPr>
        <w:b/>
        <w:bCs/>
        <w:color w:val="000000" w:themeColor="text1"/>
      </w:rPr>
      <w:tblPr/>
      <w:tcPr>
        <w:shd w:val="clear" w:color="auto" w:fill="ECEE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DEDD" w:themeFill="accent1" w:themeFillTint="33"/>
      </w:tcPr>
    </w:tblStylePr>
    <w:tblStylePr w:type="band1Vert">
      <w:tblPr/>
      <w:tcPr>
        <w:shd w:val="clear" w:color="auto" w:fill="A3ADAB" w:themeFill="accent1" w:themeFillTint="7F"/>
      </w:tcPr>
    </w:tblStylePr>
    <w:tblStylePr w:type="band1Horz">
      <w:tblPr/>
      <w:tcPr>
        <w:tcBorders>
          <w:insideH w:val="single" w:sz="6" w:space="0" w:color="4D5654" w:themeColor="accent1"/>
          <w:insideV w:val="single" w:sz="6" w:space="0" w:color="4D5654" w:themeColor="accent1"/>
        </w:tcBorders>
        <w:shd w:val="clear" w:color="auto" w:fill="A3ADAB" w:themeFill="accent1" w:themeFillTint="7F"/>
      </w:tcPr>
    </w:tblStylePr>
    <w:tblStylePr w:type="nwCell">
      <w:tblPr/>
      <w:tcPr>
        <w:shd w:val="clear" w:color="auto" w:fill="FFFFFF" w:themeFill="background1"/>
      </w:tcPr>
    </w:tblStylePr>
  </w:style>
  <w:style w:type="table" w:styleId="FarbigesRaster-Akzent3">
    <w:name w:val="Colorful Grid Accent 3"/>
    <w:basedOn w:val="NormaleTabelle"/>
    <w:uiPriority w:val="73"/>
    <w:rsid w:val="00411DD1"/>
    <w:rPr>
      <w:color w:val="000000" w:themeColor="text1"/>
    </w:rPr>
    <w:tblPr>
      <w:tblStyleRowBandSize w:val="1"/>
      <w:tblStyleColBandSize w:val="1"/>
      <w:tblBorders>
        <w:insideH w:val="single" w:sz="4" w:space="0" w:color="FFFFFF" w:themeColor="background1"/>
      </w:tblBorders>
    </w:tblPr>
    <w:tcPr>
      <w:shd w:val="clear" w:color="auto" w:fill="FFC2D3" w:themeFill="accent3" w:themeFillTint="33"/>
    </w:tcPr>
    <w:tblStylePr w:type="firstRow">
      <w:rPr>
        <w:b/>
        <w:bCs/>
      </w:rPr>
      <w:tblPr/>
      <w:tcPr>
        <w:shd w:val="clear" w:color="auto" w:fill="FF85A7" w:themeFill="accent3" w:themeFillTint="66"/>
      </w:tcPr>
    </w:tblStylePr>
    <w:tblStylePr w:type="lastRow">
      <w:rPr>
        <w:b/>
        <w:bCs/>
        <w:color w:val="000000" w:themeColor="text1"/>
      </w:rPr>
      <w:tblPr/>
      <w:tcPr>
        <w:shd w:val="clear" w:color="auto" w:fill="FF85A7" w:themeFill="accent3" w:themeFillTint="66"/>
      </w:tcPr>
    </w:tblStylePr>
    <w:tblStylePr w:type="firstCol">
      <w:rPr>
        <w:color w:val="FFFFFF" w:themeColor="background1"/>
      </w:rPr>
      <w:tblPr/>
      <w:tcPr>
        <w:shd w:val="clear" w:color="auto" w:fill="99002B" w:themeFill="accent3" w:themeFillShade="BF"/>
      </w:tcPr>
    </w:tblStylePr>
    <w:tblStylePr w:type="lastCol">
      <w:rPr>
        <w:color w:val="FFFFFF" w:themeColor="background1"/>
      </w:rPr>
      <w:tblPr/>
      <w:tcPr>
        <w:shd w:val="clear" w:color="auto" w:fill="99002B" w:themeFill="accent3" w:themeFillShade="BF"/>
      </w:tcPr>
    </w:tblStylePr>
    <w:tblStylePr w:type="band1Vert">
      <w:tblPr/>
      <w:tcPr>
        <w:shd w:val="clear" w:color="auto" w:fill="FF6791" w:themeFill="accent3" w:themeFillTint="7F"/>
      </w:tcPr>
    </w:tblStylePr>
    <w:tblStylePr w:type="band1Horz">
      <w:tblPr/>
      <w:tcPr>
        <w:shd w:val="clear" w:color="auto" w:fill="FF6791" w:themeFill="accent3" w:themeFillTint="7F"/>
      </w:tcPr>
    </w:tblStylePr>
  </w:style>
  <w:style w:type="table" w:styleId="FarbigesRaster-Akzent6">
    <w:name w:val="Colorful Grid Accent 6"/>
    <w:basedOn w:val="NormaleTabelle"/>
    <w:uiPriority w:val="73"/>
    <w:rsid w:val="00411DD1"/>
    <w:rPr>
      <w:color w:val="000000" w:themeColor="text1"/>
    </w:rPr>
    <w:tblPr>
      <w:tblStyleRowBandSize w:val="1"/>
      <w:tblStyleColBandSize w:val="1"/>
      <w:tblBorders>
        <w:insideH w:val="single" w:sz="4" w:space="0" w:color="FFFFFF" w:themeColor="background1"/>
      </w:tblBorders>
    </w:tblPr>
    <w:tcPr>
      <w:shd w:val="clear" w:color="auto" w:fill="B4DAFF" w:themeFill="accent6" w:themeFillTint="33"/>
    </w:tcPr>
    <w:tblStylePr w:type="firstRow">
      <w:rPr>
        <w:b/>
        <w:bCs/>
      </w:rPr>
      <w:tblPr/>
      <w:tcPr>
        <w:shd w:val="clear" w:color="auto" w:fill="6AB6FF" w:themeFill="accent6" w:themeFillTint="66"/>
      </w:tcPr>
    </w:tblStylePr>
    <w:tblStylePr w:type="lastRow">
      <w:rPr>
        <w:b/>
        <w:bCs/>
        <w:color w:val="000000" w:themeColor="text1"/>
      </w:rPr>
      <w:tblPr/>
      <w:tcPr>
        <w:shd w:val="clear" w:color="auto" w:fill="6AB6FF" w:themeFill="accent6" w:themeFillTint="66"/>
      </w:tcPr>
    </w:tblStylePr>
    <w:tblStylePr w:type="firstCol">
      <w:rPr>
        <w:color w:val="FFFFFF" w:themeColor="background1"/>
      </w:rPr>
      <w:tblPr/>
      <w:tcPr>
        <w:shd w:val="clear" w:color="auto" w:fill="003567" w:themeFill="accent6" w:themeFillShade="BF"/>
      </w:tcPr>
    </w:tblStylePr>
    <w:tblStylePr w:type="lastCol">
      <w:rPr>
        <w:color w:val="FFFFFF" w:themeColor="background1"/>
      </w:rPr>
      <w:tblPr/>
      <w:tcPr>
        <w:shd w:val="clear" w:color="auto" w:fill="003567" w:themeFill="accent6" w:themeFillShade="BF"/>
      </w:tcPr>
    </w:tblStylePr>
    <w:tblStylePr w:type="band1Vert">
      <w:tblPr/>
      <w:tcPr>
        <w:shd w:val="clear" w:color="auto" w:fill="45A4FF" w:themeFill="accent6" w:themeFillTint="7F"/>
      </w:tcPr>
    </w:tblStylePr>
    <w:tblStylePr w:type="band1Horz">
      <w:tblPr/>
      <w:tcPr>
        <w:shd w:val="clear" w:color="auto" w:fill="45A4FF" w:themeFill="accent6" w:themeFillTint="7F"/>
      </w:tcPr>
    </w:tblStylePr>
  </w:style>
  <w:style w:type="character" w:styleId="Funotenzeichen">
    <w:name w:val="footnote reference"/>
    <w:uiPriority w:val="99"/>
    <w:unhideWhenUsed/>
    <w:rsid w:val="006C3ECC"/>
    <w:rPr>
      <w:vertAlign w:val="superscript"/>
    </w:rPr>
  </w:style>
  <w:style w:type="paragraph" w:customStyle="1" w:styleId="GrafikLegende">
    <w:name w:val="Grafik: Legende"/>
    <w:basedOn w:val="Standard"/>
    <w:next w:val="Standard"/>
    <w:qFormat/>
    <w:rsid w:val="00E13D46"/>
    <w:pPr>
      <w:tabs>
        <w:tab w:val="clear" w:pos="425"/>
        <w:tab w:val="clear" w:pos="851"/>
        <w:tab w:val="clear" w:pos="1276"/>
        <w:tab w:val="left" w:pos="170"/>
        <w:tab w:val="left" w:pos="255"/>
        <w:tab w:val="left" w:pos="340"/>
      </w:tabs>
      <w:spacing w:line="240" w:lineRule="exact"/>
      <w:contextualSpacing/>
    </w:pPr>
    <w:rPr>
      <w:sz w:val="15"/>
    </w:rPr>
  </w:style>
  <w:style w:type="paragraph" w:customStyle="1" w:styleId="Tabelleberschrift2">
    <w:name w:val="Tabelle: Überschrift 2"/>
    <w:basedOn w:val="Standard"/>
    <w:next w:val="Standard"/>
    <w:qFormat/>
    <w:rsid w:val="00FE6BEB"/>
    <w:pPr>
      <w:keepNext/>
      <w:keepLines/>
      <w:tabs>
        <w:tab w:val="clear" w:pos="425"/>
        <w:tab w:val="clear" w:pos="851"/>
        <w:tab w:val="clear" w:pos="1276"/>
      </w:tabs>
      <w:suppressAutoHyphens/>
      <w:spacing w:before="0" w:after="135" w:line="270" w:lineRule="exact"/>
    </w:pPr>
    <w:rPr>
      <w:b/>
      <w:bCs/>
      <w:color w:val="272727"/>
      <w:sz w:val="17"/>
      <w:szCs w:val="17"/>
    </w:rPr>
  </w:style>
  <w:style w:type="table" w:styleId="TabelleListe4">
    <w:name w:val="Table List 4"/>
    <w:basedOn w:val="NormaleTabelle"/>
    <w:rsid w:val="00A37492"/>
    <w:pPr>
      <w:spacing w:after="240" w:line="260" w:lineRule="atLeas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character" w:styleId="Hyperlink">
    <w:name w:val="Hyperlink"/>
    <w:uiPriority w:val="99"/>
    <w:unhideWhenUsed/>
    <w:rsid w:val="00D2537B"/>
    <w:rPr>
      <w:color w:val="DF6421" w:themeColor="accent2"/>
    </w:rPr>
  </w:style>
  <w:style w:type="character" w:styleId="BesuchterLink">
    <w:name w:val="FollowedHyperlink"/>
    <w:basedOn w:val="Absatz-Standardschriftart"/>
    <w:uiPriority w:val="99"/>
    <w:semiHidden/>
    <w:unhideWhenUsed/>
    <w:rsid w:val="00EB5425"/>
    <w:rPr>
      <w:color w:val="5CAC34" w:themeColor="followedHyperlink"/>
      <w:u w:val="single"/>
    </w:rPr>
  </w:style>
  <w:style w:type="paragraph" w:styleId="Verzeichnis1">
    <w:name w:val="toc 1"/>
    <w:basedOn w:val="Standard"/>
    <w:next w:val="Standard"/>
    <w:autoRedefine/>
    <w:uiPriority w:val="39"/>
    <w:unhideWhenUsed/>
    <w:rsid w:val="00A27BA3"/>
    <w:pPr>
      <w:tabs>
        <w:tab w:val="clear" w:pos="425"/>
        <w:tab w:val="clear" w:pos="1276"/>
        <w:tab w:val="right" w:leader="dot" w:pos="7655"/>
      </w:tabs>
      <w:ind w:left="851" w:hanging="851"/>
    </w:pPr>
  </w:style>
  <w:style w:type="paragraph" w:styleId="Verzeichnis2">
    <w:name w:val="toc 2"/>
    <w:basedOn w:val="Standard"/>
    <w:next w:val="Standard"/>
    <w:autoRedefine/>
    <w:uiPriority w:val="39"/>
    <w:unhideWhenUsed/>
    <w:rsid w:val="00AD165D"/>
    <w:pPr>
      <w:tabs>
        <w:tab w:val="clear" w:pos="425"/>
        <w:tab w:val="clear" w:pos="1276"/>
        <w:tab w:val="right" w:leader="dot" w:pos="7655"/>
      </w:tabs>
      <w:ind w:left="851" w:hanging="851"/>
    </w:pPr>
  </w:style>
  <w:style w:type="paragraph" w:styleId="Verzeichnis3">
    <w:name w:val="toc 3"/>
    <w:basedOn w:val="Standard"/>
    <w:next w:val="Standard"/>
    <w:autoRedefine/>
    <w:uiPriority w:val="39"/>
    <w:unhideWhenUsed/>
    <w:rsid w:val="000024FC"/>
    <w:pPr>
      <w:tabs>
        <w:tab w:val="clear" w:pos="425"/>
        <w:tab w:val="clear" w:pos="1276"/>
        <w:tab w:val="right" w:leader="dot" w:pos="7655"/>
      </w:tabs>
      <w:ind w:left="851" w:hanging="851"/>
    </w:pPr>
  </w:style>
  <w:style w:type="paragraph" w:styleId="Verzeichnis4">
    <w:name w:val="toc 4"/>
    <w:basedOn w:val="Standard"/>
    <w:next w:val="Standard"/>
    <w:autoRedefine/>
    <w:uiPriority w:val="39"/>
    <w:unhideWhenUsed/>
    <w:rsid w:val="00A01FEB"/>
    <w:pPr>
      <w:tabs>
        <w:tab w:val="clear" w:pos="425"/>
        <w:tab w:val="clear" w:pos="1276"/>
        <w:tab w:val="right" w:leader="dot" w:pos="7655"/>
      </w:tabs>
      <w:ind w:left="851" w:hanging="851"/>
    </w:pPr>
  </w:style>
  <w:style w:type="numbering" w:styleId="111111">
    <w:name w:val="Outline List 2"/>
    <w:basedOn w:val="KeineListe"/>
    <w:uiPriority w:val="99"/>
    <w:semiHidden/>
    <w:unhideWhenUsed/>
    <w:rsid w:val="004221FC"/>
    <w:pPr>
      <w:numPr>
        <w:numId w:val="10"/>
      </w:numPr>
    </w:pPr>
  </w:style>
  <w:style w:type="paragraph" w:customStyle="1" w:styleId="Absatzpunkt3Ebeneberschrift">
    <w:name w:val="Absatzpunkt (3. Ebene): Überschrift"/>
    <w:basedOn w:val="Standard"/>
    <w:next w:val="Standard"/>
    <w:qFormat/>
    <w:rsid w:val="00051A7C"/>
    <w:pPr>
      <w:keepNext/>
      <w:numPr>
        <w:numId w:val="19"/>
      </w:numPr>
      <w:tabs>
        <w:tab w:val="clear" w:pos="425"/>
        <w:tab w:val="clear" w:pos="851"/>
        <w:tab w:val="clear" w:pos="1276"/>
      </w:tabs>
    </w:pPr>
    <w:rPr>
      <w:b/>
    </w:rPr>
  </w:style>
  <w:style w:type="numbering" w:customStyle="1" w:styleId="Formatvorlage1">
    <w:name w:val="Formatvorlage1"/>
    <w:uiPriority w:val="99"/>
    <w:rsid w:val="003D7FE7"/>
    <w:pPr>
      <w:numPr>
        <w:numId w:val="17"/>
      </w:numPr>
    </w:pPr>
  </w:style>
  <w:style w:type="paragraph" w:customStyle="1" w:styleId="StandardmitEinzug1Ebene">
    <w:name w:val="Standard mit Einzug (1. Ebene)"/>
    <w:basedOn w:val="Standard"/>
    <w:next w:val="Standard"/>
    <w:qFormat/>
    <w:rsid w:val="00B50951"/>
    <w:pPr>
      <w:tabs>
        <w:tab w:val="clear" w:pos="425"/>
        <w:tab w:val="clear" w:pos="851"/>
        <w:tab w:val="clear" w:pos="1276"/>
      </w:tabs>
      <w:spacing w:before="150"/>
      <w:ind w:left="425"/>
    </w:pPr>
  </w:style>
  <w:style w:type="paragraph" w:customStyle="1" w:styleId="StandardmitEinzug2Ebene">
    <w:name w:val="Standard mit Einzug (2. Ebene)"/>
    <w:basedOn w:val="Standard"/>
    <w:next w:val="Standard"/>
    <w:qFormat/>
    <w:rsid w:val="00216A6E"/>
    <w:pPr>
      <w:tabs>
        <w:tab w:val="clear" w:pos="425"/>
        <w:tab w:val="clear" w:pos="851"/>
        <w:tab w:val="clear" w:pos="1276"/>
      </w:tabs>
      <w:spacing w:before="150"/>
      <w:ind w:left="851"/>
    </w:pPr>
  </w:style>
  <w:style w:type="paragraph" w:styleId="Titel">
    <w:name w:val="Title"/>
    <w:basedOn w:val="Standard"/>
    <w:next w:val="Standard"/>
    <w:link w:val="TitelZchn"/>
    <w:uiPriority w:val="10"/>
    <w:qFormat/>
    <w:rsid w:val="0035229C"/>
    <w:pPr>
      <w:tabs>
        <w:tab w:val="clear" w:pos="425"/>
        <w:tab w:val="clear" w:pos="851"/>
        <w:tab w:val="clear" w:pos="1276"/>
      </w:tabs>
      <w:spacing w:before="0" w:after="1500" w:line="625" w:lineRule="exact"/>
      <w:ind w:left="851"/>
    </w:pPr>
    <w:rPr>
      <w:rFonts w:eastAsiaTheme="majorEastAsia" w:cstheme="majorBidi"/>
      <w:b/>
      <w:spacing w:val="5"/>
      <w:kern w:val="28"/>
      <w:sz w:val="50"/>
      <w:szCs w:val="52"/>
    </w:rPr>
  </w:style>
  <w:style w:type="character" w:customStyle="1" w:styleId="TitelZchn">
    <w:name w:val="Titel Zchn"/>
    <w:basedOn w:val="Absatz-Standardschriftart"/>
    <w:link w:val="Titel"/>
    <w:uiPriority w:val="10"/>
    <w:rsid w:val="0035229C"/>
    <w:rPr>
      <w:rFonts w:ascii="Arial" w:eastAsiaTheme="majorEastAsia" w:hAnsi="Arial" w:cstheme="majorBidi"/>
      <w:b/>
      <w:color w:val="636463"/>
      <w:spacing w:val="5"/>
      <w:kern w:val="28"/>
      <w:sz w:val="50"/>
      <w:szCs w:val="52"/>
    </w:rPr>
  </w:style>
  <w:style w:type="paragraph" w:customStyle="1" w:styleId="StandardmitEinzug3Ebene">
    <w:name w:val="Standard mit Einzug (3. Ebene)"/>
    <w:basedOn w:val="Standard"/>
    <w:next w:val="Standard"/>
    <w:qFormat/>
    <w:rsid w:val="008B76B2"/>
    <w:pPr>
      <w:tabs>
        <w:tab w:val="clear" w:pos="425"/>
        <w:tab w:val="clear" w:pos="851"/>
        <w:tab w:val="clear" w:pos="1276"/>
      </w:tabs>
      <w:spacing w:before="150"/>
      <w:ind w:left="1276"/>
    </w:pPr>
  </w:style>
  <w:style w:type="paragraph" w:styleId="Untertitel">
    <w:name w:val="Subtitle"/>
    <w:basedOn w:val="Standard"/>
    <w:next w:val="Standard"/>
    <w:link w:val="UntertitelZchn"/>
    <w:uiPriority w:val="11"/>
    <w:qFormat/>
    <w:rsid w:val="006A3F5E"/>
    <w:pPr>
      <w:numPr>
        <w:ilvl w:val="1"/>
      </w:numPr>
      <w:tabs>
        <w:tab w:val="clear" w:pos="425"/>
        <w:tab w:val="clear" w:pos="851"/>
        <w:tab w:val="clear" w:pos="1276"/>
      </w:tabs>
      <w:spacing w:before="0" w:after="900" w:line="500" w:lineRule="exact"/>
      <w:ind w:left="851"/>
    </w:pPr>
    <w:rPr>
      <w:rFonts w:eastAsiaTheme="majorEastAsia" w:cstheme="majorBidi"/>
      <w:spacing w:val="15"/>
      <w:sz w:val="40"/>
      <w:szCs w:val="40"/>
    </w:rPr>
  </w:style>
  <w:style w:type="character" w:customStyle="1" w:styleId="UntertitelZchn">
    <w:name w:val="Untertitel Zchn"/>
    <w:basedOn w:val="Absatz-Standardschriftart"/>
    <w:link w:val="Untertitel"/>
    <w:uiPriority w:val="11"/>
    <w:rsid w:val="006A3F5E"/>
    <w:rPr>
      <w:rFonts w:ascii="Arial" w:eastAsiaTheme="majorEastAsia" w:hAnsi="Arial" w:cstheme="majorBidi"/>
      <w:color w:val="636463"/>
      <w:spacing w:val="15"/>
      <w:sz w:val="40"/>
      <w:szCs w:val="40"/>
    </w:rPr>
  </w:style>
  <w:style w:type="paragraph" w:customStyle="1" w:styleId="AutorAutoren">
    <w:name w:val="Autor/Autoren"/>
    <w:basedOn w:val="Standard"/>
    <w:next w:val="Standard"/>
    <w:qFormat/>
    <w:rsid w:val="006A3F5E"/>
    <w:pPr>
      <w:tabs>
        <w:tab w:val="clear" w:pos="425"/>
        <w:tab w:val="clear" w:pos="851"/>
        <w:tab w:val="clear" w:pos="1276"/>
      </w:tabs>
      <w:spacing w:before="0" w:after="300" w:line="375" w:lineRule="exact"/>
      <w:ind w:left="851"/>
    </w:pPr>
    <w:rPr>
      <w:sz w:val="30"/>
    </w:rPr>
  </w:style>
  <w:style w:type="paragraph" w:customStyle="1" w:styleId="Bildunterschrift">
    <w:name w:val="Bildunterschrift"/>
    <w:basedOn w:val="Standard"/>
    <w:next w:val="Standard"/>
    <w:qFormat/>
    <w:rsid w:val="00E13D46"/>
    <w:pPr>
      <w:numPr>
        <w:numId w:val="8"/>
      </w:numPr>
      <w:tabs>
        <w:tab w:val="clear" w:pos="425"/>
        <w:tab w:val="clear" w:pos="709"/>
        <w:tab w:val="clear" w:pos="1276"/>
      </w:tabs>
      <w:spacing w:after="600" w:line="270" w:lineRule="exact"/>
      <w:ind w:left="709" w:hanging="709"/>
    </w:pPr>
    <w:rPr>
      <w:sz w:val="17"/>
    </w:rPr>
  </w:style>
  <w:style w:type="paragraph" w:customStyle="1" w:styleId="Quelle">
    <w:name w:val="Quelle"/>
    <w:basedOn w:val="Standard"/>
    <w:next w:val="Standard"/>
    <w:qFormat/>
    <w:rsid w:val="008C3A18"/>
    <w:pPr>
      <w:tabs>
        <w:tab w:val="left" w:pos="170"/>
        <w:tab w:val="left" w:pos="255"/>
        <w:tab w:val="left" w:pos="340"/>
      </w:tabs>
      <w:spacing w:before="0" w:after="135" w:line="270" w:lineRule="exact"/>
    </w:pPr>
    <w:rPr>
      <w:sz w:val="17"/>
    </w:rPr>
  </w:style>
  <w:style w:type="paragraph" w:customStyle="1" w:styleId="VerweisaufMitgliederbereichText">
    <w:name w:val="Verweis auf Mitgliederbereich: Text"/>
    <w:basedOn w:val="Standard"/>
    <w:next w:val="Standard"/>
    <w:qFormat/>
    <w:rsid w:val="00383386"/>
    <w:rPr>
      <w:color w:val="A5A6A5"/>
    </w:rPr>
  </w:style>
  <w:style w:type="paragraph" w:styleId="berarbeitung">
    <w:name w:val="Revision"/>
    <w:hidden/>
    <w:uiPriority w:val="99"/>
    <w:semiHidden/>
    <w:rsid w:val="00AB1112"/>
    <w:rPr>
      <w:rFonts w:ascii="Arial" w:hAnsi="Arial"/>
      <w:color w:val="636463"/>
      <w:sz w:val="19"/>
      <w:szCs w:val="19"/>
    </w:rPr>
  </w:style>
  <w:style w:type="paragraph" w:customStyle="1" w:styleId="Absatzpunkt1Ebeneberschrift">
    <w:name w:val="Absatzpunkt (1. Ebene): Überschrift"/>
    <w:basedOn w:val="Standard"/>
    <w:next w:val="Standard"/>
    <w:qFormat/>
    <w:rsid w:val="007B3775"/>
    <w:pPr>
      <w:keepNext/>
      <w:numPr>
        <w:numId w:val="23"/>
      </w:numPr>
      <w:tabs>
        <w:tab w:val="clear" w:pos="425"/>
        <w:tab w:val="clear" w:pos="851"/>
        <w:tab w:val="clear" w:pos="1276"/>
      </w:tabs>
      <w:spacing w:before="600"/>
    </w:pPr>
    <w:rPr>
      <w:b/>
    </w:rPr>
  </w:style>
  <w:style w:type="paragraph" w:customStyle="1" w:styleId="Absatzpunkt2Ebeneberschrift">
    <w:name w:val="Absatzpunkt (2. Ebene): Überschrift"/>
    <w:basedOn w:val="Standard"/>
    <w:next w:val="Standard"/>
    <w:qFormat/>
    <w:rsid w:val="007B3775"/>
    <w:pPr>
      <w:keepNext/>
      <w:numPr>
        <w:numId w:val="25"/>
      </w:numPr>
      <w:tabs>
        <w:tab w:val="clear" w:pos="425"/>
        <w:tab w:val="clear" w:pos="850"/>
        <w:tab w:val="clear" w:pos="1276"/>
      </w:tabs>
    </w:pPr>
    <w:rPr>
      <w:b/>
    </w:rPr>
  </w:style>
  <w:style w:type="paragraph" w:customStyle="1" w:styleId="VerweisaufMitgliederbereichberschrift">
    <w:name w:val="Verweis auf Mitgliederbereich: Überschrift"/>
    <w:basedOn w:val="Standard"/>
    <w:next w:val="Standard"/>
    <w:qFormat/>
    <w:rsid w:val="00051A7C"/>
    <w:pPr>
      <w:keepNext/>
      <w:tabs>
        <w:tab w:val="clear" w:pos="425"/>
      </w:tabs>
      <w:spacing w:before="600" w:after="300"/>
    </w:pPr>
    <w:rPr>
      <w:b/>
      <w:color w:val="A5A6A5"/>
    </w:rPr>
  </w:style>
  <w:style w:type="paragraph" w:customStyle="1" w:styleId="Grafikberschrift">
    <w:name w:val="Grafik: Überschrift"/>
    <w:basedOn w:val="Standard"/>
    <w:next w:val="Standard"/>
    <w:qFormat/>
    <w:rsid w:val="00A11CD7"/>
    <w:pPr>
      <w:keepNext/>
      <w:keepLines/>
      <w:suppressAutoHyphens/>
      <w:spacing w:before="600" w:after="300"/>
    </w:pPr>
    <w:rPr>
      <w:b/>
      <w:color w:val="272727"/>
    </w:rPr>
  </w:style>
  <w:style w:type="paragraph" w:styleId="Kommentartext">
    <w:name w:val="annotation text"/>
    <w:basedOn w:val="Standard"/>
    <w:link w:val="KommentartextZchn"/>
    <w:unhideWhenUsed/>
    <w:rsid w:val="007608F1"/>
  </w:style>
  <w:style w:type="character" w:customStyle="1" w:styleId="KommentartextZchn">
    <w:name w:val="Kommentartext Zchn"/>
    <w:basedOn w:val="Absatz-Standardschriftart"/>
    <w:link w:val="Kommentartext"/>
    <w:rsid w:val="007608F1"/>
    <w:rPr>
      <w:rFonts w:ascii="Arial" w:hAnsi="Arial"/>
      <w:color w:val="636463"/>
      <w:sz w:val="19"/>
      <w:szCs w:val="19"/>
    </w:rPr>
  </w:style>
  <w:style w:type="character" w:styleId="Kommentarzeichen">
    <w:name w:val="annotation reference"/>
    <w:unhideWhenUsed/>
    <w:rsid w:val="007608F1"/>
  </w:style>
  <w:style w:type="paragraph" w:styleId="Listenabsatz">
    <w:name w:val="List Paragraph"/>
    <w:basedOn w:val="Standard"/>
    <w:uiPriority w:val="34"/>
    <w:qFormat/>
    <w:rsid w:val="004968C0"/>
    <w:pPr>
      <w:tabs>
        <w:tab w:val="clear" w:pos="425"/>
        <w:tab w:val="clear" w:pos="851"/>
        <w:tab w:val="clear" w:pos="1276"/>
      </w:tabs>
      <w:spacing w:before="0" w:after="160" w:line="256" w:lineRule="auto"/>
      <w:ind w:left="720"/>
      <w:contextualSpacing/>
    </w:pPr>
    <w:rPr>
      <w:rFonts w:asciiTheme="minorHAnsi" w:eastAsiaTheme="minorHAnsi" w:hAnsiTheme="minorHAnsi"/>
      <w:color w:val="auto"/>
      <w:kern w:val="2"/>
      <w:sz w:val="22"/>
      <w:szCs w:val="22"/>
      <w:lang w:eastAsia="en-US"/>
      <w14:ligatures w14:val="standardContextual"/>
    </w:rPr>
  </w:style>
  <w:style w:type="character" w:customStyle="1" w:styleId="ui-provider">
    <w:name w:val="ui-provider"/>
    <w:basedOn w:val="Absatz-Standardschriftart"/>
    <w:rsid w:val="004968C0"/>
  </w:style>
  <w:style w:type="paragraph" w:styleId="KeinLeerraum">
    <w:name w:val="No Spacing"/>
    <w:uiPriority w:val="1"/>
    <w:qFormat/>
    <w:rsid w:val="00C1515E"/>
    <w:pPr>
      <w:tabs>
        <w:tab w:val="left" w:pos="425"/>
        <w:tab w:val="left" w:pos="851"/>
        <w:tab w:val="left" w:pos="1276"/>
      </w:tabs>
    </w:pPr>
    <w:rPr>
      <w:rFonts w:ascii="Arial" w:hAnsi="Arial"/>
      <w:color w:val="636463"/>
      <w:sz w:val="19"/>
      <w:szCs w:val="19"/>
    </w:rPr>
  </w:style>
  <w:style w:type="paragraph" w:styleId="Beschriftung">
    <w:name w:val="caption"/>
    <w:basedOn w:val="Standard"/>
    <w:next w:val="Standard"/>
    <w:uiPriority w:val="35"/>
    <w:unhideWhenUsed/>
    <w:qFormat/>
    <w:rsid w:val="006574B2"/>
    <w:pPr>
      <w:spacing w:before="0" w:after="200" w:line="240" w:lineRule="auto"/>
    </w:pPr>
    <w:rPr>
      <w:i/>
      <w:iCs/>
      <w:color w:val="000000" w:themeColor="text2"/>
      <w:sz w:val="18"/>
      <w:szCs w:val="18"/>
    </w:rPr>
  </w:style>
  <w:style w:type="paragraph" w:styleId="Inhaltsverzeichnisberschrift">
    <w:name w:val="TOC Heading"/>
    <w:basedOn w:val="berschrift1"/>
    <w:next w:val="Standard"/>
    <w:uiPriority w:val="39"/>
    <w:unhideWhenUsed/>
    <w:qFormat/>
    <w:rsid w:val="00263ED5"/>
    <w:pPr>
      <w:pageBreakBefore w:val="0"/>
      <w:numPr>
        <w:numId w:val="0"/>
      </w:numPr>
      <w:suppressAutoHyphens w:val="0"/>
      <w:spacing w:before="240" w:after="0" w:line="259" w:lineRule="auto"/>
      <w:outlineLvl w:val="9"/>
    </w:pPr>
    <w:rPr>
      <w:rFonts w:asciiTheme="majorHAnsi" w:hAnsiTheme="majorHAnsi"/>
      <w:color w:val="39403E" w:themeColor="accent1" w:themeShade="BF"/>
      <w:sz w:val="32"/>
      <w:szCs w:val="32"/>
    </w:rPr>
  </w:style>
  <w:style w:type="character" w:styleId="NichtaufgelsteErwhnung">
    <w:name w:val="Unresolved Mention"/>
    <w:basedOn w:val="Absatz-Standardschriftart"/>
    <w:uiPriority w:val="99"/>
    <w:semiHidden/>
    <w:unhideWhenUsed/>
    <w:rsid w:val="008B1C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3065">
      <w:bodyDiv w:val="1"/>
      <w:marLeft w:val="0"/>
      <w:marRight w:val="0"/>
      <w:marTop w:val="0"/>
      <w:marBottom w:val="0"/>
      <w:divBdr>
        <w:top w:val="none" w:sz="0" w:space="0" w:color="auto"/>
        <w:left w:val="none" w:sz="0" w:space="0" w:color="auto"/>
        <w:bottom w:val="none" w:sz="0" w:space="0" w:color="auto"/>
        <w:right w:val="none" w:sz="0" w:space="0" w:color="auto"/>
      </w:divBdr>
    </w:div>
    <w:div w:id="150023995">
      <w:bodyDiv w:val="1"/>
      <w:marLeft w:val="0"/>
      <w:marRight w:val="0"/>
      <w:marTop w:val="0"/>
      <w:marBottom w:val="0"/>
      <w:divBdr>
        <w:top w:val="none" w:sz="0" w:space="0" w:color="auto"/>
        <w:left w:val="none" w:sz="0" w:space="0" w:color="auto"/>
        <w:bottom w:val="none" w:sz="0" w:space="0" w:color="auto"/>
        <w:right w:val="none" w:sz="0" w:space="0" w:color="auto"/>
      </w:divBdr>
    </w:div>
    <w:div w:id="449664227">
      <w:bodyDiv w:val="1"/>
      <w:marLeft w:val="0"/>
      <w:marRight w:val="0"/>
      <w:marTop w:val="0"/>
      <w:marBottom w:val="0"/>
      <w:divBdr>
        <w:top w:val="none" w:sz="0" w:space="0" w:color="auto"/>
        <w:left w:val="none" w:sz="0" w:space="0" w:color="auto"/>
        <w:bottom w:val="none" w:sz="0" w:space="0" w:color="auto"/>
        <w:right w:val="none" w:sz="0" w:space="0" w:color="auto"/>
      </w:divBdr>
    </w:div>
    <w:div w:id="654797953">
      <w:bodyDiv w:val="1"/>
      <w:marLeft w:val="0"/>
      <w:marRight w:val="0"/>
      <w:marTop w:val="0"/>
      <w:marBottom w:val="0"/>
      <w:divBdr>
        <w:top w:val="none" w:sz="0" w:space="0" w:color="auto"/>
        <w:left w:val="none" w:sz="0" w:space="0" w:color="auto"/>
        <w:bottom w:val="none" w:sz="0" w:space="0" w:color="auto"/>
        <w:right w:val="none" w:sz="0" w:space="0" w:color="auto"/>
      </w:divBdr>
    </w:div>
    <w:div w:id="851603169">
      <w:bodyDiv w:val="1"/>
      <w:marLeft w:val="0"/>
      <w:marRight w:val="0"/>
      <w:marTop w:val="0"/>
      <w:marBottom w:val="0"/>
      <w:divBdr>
        <w:top w:val="none" w:sz="0" w:space="0" w:color="auto"/>
        <w:left w:val="none" w:sz="0" w:space="0" w:color="auto"/>
        <w:bottom w:val="none" w:sz="0" w:space="0" w:color="auto"/>
        <w:right w:val="none" w:sz="0" w:space="0" w:color="auto"/>
      </w:divBdr>
    </w:div>
    <w:div w:id="884634248">
      <w:bodyDiv w:val="1"/>
      <w:marLeft w:val="0"/>
      <w:marRight w:val="0"/>
      <w:marTop w:val="0"/>
      <w:marBottom w:val="0"/>
      <w:divBdr>
        <w:top w:val="none" w:sz="0" w:space="0" w:color="auto"/>
        <w:left w:val="none" w:sz="0" w:space="0" w:color="auto"/>
        <w:bottom w:val="none" w:sz="0" w:space="0" w:color="auto"/>
        <w:right w:val="none" w:sz="0" w:space="0" w:color="auto"/>
      </w:divBdr>
    </w:div>
    <w:div w:id="1222015263">
      <w:bodyDiv w:val="1"/>
      <w:marLeft w:val="0"/>
      <w:marRight w:val="0"/>
      <w:marTop w:val="0"/>
      <w:marBottom w:val="0"/>
      <w:divBdr>
        <w:top w:val="none" w:sz="0" w:space="0" w:color="auto"/>
        <w:left w:val="none" w:sz="0" w:space="0" w:color="auto"/>
        <w:bottom w:val="none" w:sz="0" w:space="0" w:color="auto"/>
        <w:right w:val="none" w:sz="0" w:space="0" w:color="auto"/>
      </w:divBdr>
    </w:div>
    <w:div w:id="1856504126">
      <w:bodyDiv w:val="1"/>
      <w:marLeft w:val="0"/>
      <w:marRight w:val="0"/>
      <w:marTop w:val="0"/>
      <w:marBottom w:val="0"/>
      <w:divBdr>
        <w:top w:val="none" w:sz="0" w:space="0" w:color="auto"/>
        <w:left w:val="none" w:sz="0" w:space="0" w:color="auto"/>
        <w:bottom w:val="none" w:sz="0" w:space="0" w:color="auto"/>
        <w:right w:val="none" w:sz="0" w:space="0" w:color="auto"/>
      </w:divBdr>
    </w:div>
    <w:div w:id="1942639445">
      <w:bodyDiv w:val="1"/>
      <w:marLeft w:val="0"/>
      <w:marRight w:val="0"/>
      <w:marTop w:val="0"/>
      <w:marBottom w:val="0"/>
      <w:divBdr>
        <w:top w:val="none" w:sz="0" w:space="0" w:color="auto"/>
        <w:left w:val="none" w:sz="0" w:space="0" w:color="auto"/>
        <w:bottom w:val="none" w:sz="0" w:space="0" w:color="auto"/>
        <w:right w:val="none" w:sz="0" w:space="0" w:color="auto"/>
      </w:divBdr>
    </w:div>
    <w:div w:id="20596283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bafin.de/SharedDocs/Veroeffentlichungen/DE/Fachartikel/2018/fa_bj_1806_Starke_Kundenauthentifizierung.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ba.europa.eu/single-rule-book-qa/qna/view/publicId/2021_614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diir.de/arbeitskreise/revision-des-zahlungsverkehrs-bei-kreditinstituten-und-zahlungsverkehrsdienstleistern/veroeffentlichung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bundesbank.de/de/service/meldewesen/anhang-2-zahlungssysteme-und-mcc-liste-85896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ba.europa.eu/sites/default/files/document_library/Publications/Draft%20Technical%20Standards/2022/EBA-RTS-2022-03%20RTS%20on%20SCA%26CSC/1029858/Final%20Report%20on%20the%20amendment%20of%20the%20RTS%20on%20SCA%26CSC.pdf" TargetMode="External"/><Relationship Id="rId2" Type="http://schemas.openxmlformats.org/officeDocument/2006/relationships/hyperlink" Target="https://www.bafin.de/SharedDocs/Veroeffentlichungen/DE/Fachartikel/2018/fa_bj_1806_Starke_Kundenauthentifizierung.html" TargetMode="External"/><Relationship Id="rId1" Type="http://schemas.openxmlformats.org/officeDocument/2006/relationships/hyperlink" Target="https://eur-lex.europa.eu/legal-content/DE/TXT/PDF/?uri=CELEX:32018R0389" TargetMode="External"/><Relationship Id="rId4" Type="http://schemas.openxmlformats.org/officeDocument/2006/relationships/hyperlink" Target="https://www.eba.europa.eu/sites/default/files/document_library/Publications/Draft%20Technical%20Standards/2022/EBA-RTS-2022-03%20RTS%20on%20SCA%26CSC/1029858/Final%20Report%20on%20the%20amendment%20of%20the%20RTS%20on%20SCA%26CSC.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0015197\AppData\Local\Microsoft\Windows\INetCache\Content.Outlook\Y8B2QL9L\Word-Vorlage%20DIIR-Publikationen%202023.dotx" TargetMode="External"/></Relationships>
</file>

<file path=word/theme/theme1.xml><?xml version="1.0" encoding="utf-8"?>
<a:theme xmlns:a="http://schemas.openxmlformats.org/drawingml/2006/main" name="DIIR">
  <a:themeElements>
    <a:clrScheme name="DIIR">
      <a:dk1>
        <a:srgbClr val="000000"/>
      </a:dk1>
      <a:lt1>
        <a:srgbClr val="FFFFFF"/>
      </a:lt1>
      <a:dk2>
        <a:srgbClr val="000000"/>
      </a:dk2>
      <a:lt2>
        <a:srgbClr val="FFFFFF"/>
      </a:lt2>
      <a:accent1>
        <a:srgbClr val="4D5654"/>
      </a:accent1>
      <a:accent2>
        <a:srgbClr val="DF6421"/>
      </a:accent2>
      <a:accent3>
        <a:srgbClr val="CD003A"/>
      </a:accent3>
      <a:accent4>
        <a:srgbClr val="53002E"/>
      </a:accent4>
      <a:accent5>
        <a:srgbClr val="5C1867"/>
      </a:accent5>
      <a:accent6>
        <a:srgbClr val="00478A"/>
      </a:accent6>
      <a:hlink>
        <a:srgbClr val="00405A"/>
      </a:hlink>
      <a:folHlink>
        <a:srgbClr val="5CAC34"/>
      </a:folHlink>
    </a:clrScheme>
    <a:fontScheme name="Raster">
      <a:majorFont>
        <a:latin typeface="Franklin Gothic Medium"/>
        <a:ea typeface=""/>
        <a:cs typeface=""/>
        <a:font script="Jpan" typeface="HG創英角ｺﾞｼｯｸUB"/>
        <a:font script="Hang" typeface="HY견고딕"/>
        <a:font script="Hans" typeface="微软雅黑"/>
        <a:font script="Hant" typeface="微軟正黑體"/>
        <a:font script="Arab" typeface="Arial Bold"/>
        <a:font script="Hebr" typeface="Arial Bold"/>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Bold"/>
        <a:font script="Uigh" typeface="Microsoft Uighur"/>
        <a:font script="Geor" typeface="Sylfaen"/>
      </a:majorFont>
      <a:minorFont>
        <a:latin typeface="Franklin Gothic Medium"/>
        <a:ea typeface=""/>
        <a:cs typeface=""/>
        <a:font script="Jpan" typeface="HG創英角ｺﾞｼｯｸUB"/>
        <a:font script="Hang" typeface="HY견고딕"/>
        <a:font script="Hans" typeface="微软雅黑"/>
        <a:font script="Hant" typeface="微軟正黑體"/>
        <a:font script="Arab" typeface="Arial Bold"/>
        <a:font script="Hebr" typeface="Arial Bold"/>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Bold"/>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B3183-02B7-EE49-877B-AF33AB7F6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Word-Vorlage DIIR-Publikationen 2023</Template>
  <TotalTime>0</TotalTime>
  <Pages>87</Pages>
  <Words>17964</Words>
  <Characters>113177</Characters>
  <Application>Microsoft Office Word</Application>
  <DocSecurity>0</DocSecurity>
  <Lines>943</Lines>
  <Paragraphs>261</Paragraphs>
  <ScaleCrop>false</ScaleCrop>
  <HeadingPairs>
    <vt:vector size="2" baseType="variant">
      <vt:variant>
        <vt:lpstr>Titel</vt:lpstr>
      </vt:variant>
      <vt:variant>
        <vt:i4>1</vt:i4>
      </vt:variant>
    </vt:vector>
  </HeadingPairs>
  <TitlesOfParts>
    <vt:vector size="1" baseType="lpstr">
      <vt:lpstr/>
    </vt:vector>
  </TitlesOfParts>
  <Company>Helaba</Company>
  <LinksUpToDate>false</LinksUpToDate>
  <CharactersWithSpaces>130880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Grubert, Anna-Lena (030)</dc:creator>
  <cp:lastModifiedBy>Michael Bünis</cp:lastModifiedBy>
  <cp:revision>2</cp:revision>
  <cp:lastPrinted>2026-09-15T12:11:00Z</cp:lastPrinted>
  <dcterms:created xsi:type="dcterms:W3CDTF">2026-09-15T12:12:00Z</dcterms:created>
  <dcterms:modified xsi:type="dcterms:W3CDTF">2026-09-15T12:12:00Z</dcterms:modified>
</cp:coreProperties>
</file>